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Załącznik nr 4 do Zarządzenia Nr RD/Z.0201-……..…………..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KARTA KURSU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37.0" w:type="dxa"/>
        <w:jc w:val="left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4"/>
        <w:gridCol w:w="7753"/>
        <w:tblGridChange w:id="0">
          <w:tblGrid>
            <w:gridCol w:w="1984"/>
            <w:gridCol w:w="7753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Wideoedycja </w: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Nazwa w j. ang.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Video-editing 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45.0" w:type="dxa"/>
        <w:jc w:val="left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3880"/>
        <w:gridCol w:w="3880"/>
        <w:tblGridChange w:id="0">
          <w:tblGrid>
            <w:gridCol w:w="1985"/>
            <w:gridCol w:w="3880"/>
            <w:gridCol w:w="3880"/>
          </w:tblGrid>
        </w:tblGridChange>
      </w:tblGrid>
      <w:tr>
        <w:trPr>
          <w:cantSplit w:val="1"/>
          <w:trHeight w:val="397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Jessica Szczepańska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Zespół dydaktyczny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Lidia Krawczyk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Magdalena Koziak-Podsiadło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Tomasz Sadowski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Punktacja ECTS*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tl w:val="0"/>
        </w:rPr>
        <w:t xml:space="preserve">Opis kursu (cele kształcenia)</w:t>
      </w:r>
    </w:p>
    <w:tbl>
      <w:tblPr>
        <w:tblStyle w:val="Table3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Opanowanie podstaw montażu w programie Adobe Premiere Pro – nauka obsługi interfejsu oraz podstawowych narzędzi montażowych, umożliwiająca tworzenie profesjonalnych materiałów wideo poprzez cięcie, łączenie oraz manipulację klipami.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Zrozumienie terminologii i pojęć filmowych – zapoznanie z kluczowymi elementami produkcji filmowej, takimi jak rodzaje kadrów, techniki montażu, oś filmowa, co pozwala na świadome podejście do struktury i narracji wizualnej.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Organizacja materiałów wideo i audio – nauka skutecznego importowania, organizowania i zarządzania materiałami multimedialnymi, co zapewnia porządek i sprawną pracę podczas edycji.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Praca z synchronicznością obrazu i dźwięku – zdobycie umiejętności synchronizowania ścieżek audio z obrazem, co stanowi fundament profesjonalnego montażu wideo.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Dodawanie efektów przejścia i animacji – nauka wprowadzania efektów wizualnych, przejść oraz animacji, które nadają filmowi płynność i dynamikę.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Tworzenie i animowanie napisów oraz grafiki – zapoznanie z technikami tworzenia napisów początkowych i końcowych, animowania tekstów oraz dodawania grafik i logotypów, wzbogacających wideo o dodatkowe warstwy informacyjne i estetyczne.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Podstawy pisania scenariuszy i realizacji wywiadów – wprowadzenie do pisania scenariuszy, struktury narracyjnej oraz zasad przeprowadzania wywiadów.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Wzmacnianie umiejętności twórczych i technicznych w realizacji projektów wideo – przygotowanie uczestników do samodzielnej produkcji materiałów wideo, w tym rozwiązywania problemów technicznych i artystycznych podczas całego procesu montażu.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Wzbudzanie kreatywności w zakresie narracji filmowej – inspirowanie studentów do eksperymentowania z formą i treścią, rozwijanie umiejętności wyrażania własnych pomysłów poprzez obraz i dźwięk oraz stawianie twórczych wyzwań w kontekście filmowym.</w:t>
            </w:r>
          </w:p>
        </w:tc>
      </w:tr>
    </w:tbl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rtl w:val="0"/>
        </w:rPr>
        <w:t xml:space="preserve">Warunki wstępne</w:t>
      </w:r>
    </w:p>
    <w:tbl>
      <w:tblPr>
        <w:tblStyle w:val="Table4"/>
        <w:tblW w:w="9768.0" w:type="dxa"/>
        <w:jc w:val="left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783"/>
        <w:tblGridChange w:id="0">
          <w:tblGrid>
            <w:gridCol w:w="1985"/>
            <w:gridCol w:w="778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Podstawowa znajomość zasad projektowania graficznego oraz technik łączenia elementów audiowizualnych, znajomość współczesnych trendów kultury wizualnej, muzyki, kina, stylów projektowych i współczesnej estetyki.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Zdolność tworzenia projektów graficznych, wykorzystując nowoczesne techniki projektowe, a także umiejętność oceny zarówno estetycznej, jak i funkcjonalnej wartości tych projektów.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Kursy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Wideoedycja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Fotoedycja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Projektowanie grafiki dla internetu</w:t>
            </w:r>
          </w:p>
        </w:tc>
      </w:tr>
    </w:tbl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Efekty uczenia się</w:t>
      </w:r>
    </w:p>
    <w:tbl>
      <w:tblPr>
        <w:tblStyle w:val="Table5"/>
        <w:tblW w:w="9727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4"/>
        <w:gridCol w:w="5451"/>
        <w:gridCol w:w="2292"/>
        <w:tblGridChange w:id="0">
          <w:tblGrid>
            <w:gridCol w:w="1984"/>
            <w:gridCol w:w="5451"/>
            <w:gridCol w:w="2292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39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W01. W zaawansowanym stopniu zna metody tworzenia, analizy i oraz interpretacji przestrzeni informacyjnej, wizualizacji danych, cyfrowej prezentacji informacji niezbędnych w profesjonalnej działalności informacyjnej i wydawniczej. Posiada wiedzę o nadawcy i odbiorcy komunikatu medialnego.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K_W02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W02. W zaawansowanym stopniu zna teorię i posługuje się terminologią w zakresie metod tworzenia użytecznych oraz wyszukiwalnych komunikatów tekstowych, graficznych i audiowizualnych.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K_W02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W03. Wykazuje znajomość metodologii oraz technik projektowania graficznego i wizualnego, a także stosowania technologii cyfrowej w realizacji zadań projektowych.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K_W05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27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4"/>
        <w:gridCol w:w="5451"/>
        <w:gridCol w:w="2292"/>
        <w:tblGridChange w:id="0">
          <w:tblGrid>
            <w:gridCol w:w="1984"/>
            <w:gridCol w:w="5451"/>
            <w:gridCol w:w="2292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39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U01.Posiada umiejętność formułowania komunikatów oraz przygotowania przekazów wizualnych z uwzględnieniem interaktywności oraz zastosowaniem odpowiednich technik informacyjno-komunikacyjnych.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K1_U02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U02. Potrafi projektować przestrzeń informacyjną na wysokim poziomie funkcjonalnym i estetycznym z wykorzystaniem odpowiedniego oprogramowania.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K_U06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U03.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27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84"/>
        <w:gridCol w:w="5451"/>
        <w:gridCol w:w="2292"/>
        <w:tblGridChange w:id="0">
          <w:tblGrid>
            <w:gridCol w:w="1984"/>
            <w:gridCol w:w="5451"/>
            <w:gridCol w:w="2292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Efekt kształcenia dla kursu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Odniesienie do efektów kierunkowych</w:t>
            </w:r>
          </w:p>
        </w:tc>
      </w:tr>
      <w:tr>
        <w:trPr>
          <w:cantSplit w:val="1"/>
          <w:trHeight w:val="399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K01. Potrafi adaptować się do nowych okoliczności oraz pracować w sposób innowacyjny i kreatywny.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K1_K03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K02.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K_K04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K03.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745.000000000002" w:type="dxa"/>
        <w:jc w:val="left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  <w:tblGridChange w:id="0">
          <w:tblGrid>
            <w:gridCol w:w="1983"/>
            <w:gridCol w:w="962"/>
            <w:gridCol w:w="1130"/>
            <w:gridCol w:w="1132"/>
            <w:gridCol w:w="1132"/>
            <w:gridCol w:w="1132"/>
            <w:gridCol w:w="1132"/>
            <w:gridCol w:w="1142"/>
          </w:tblGrid>
        </w:tblGridChange>
      </w:tblGrid>
      <w:tr>
        <w:trPr>
          <w:cantSplit w:val="1"/>
          <w:trHeight w:val="424" w:hRule="atLeast"/>
          <w:tblHeader w:val="0"/>
        </w:trPr>
        <w:tc>
          <w:tcPr>
            <w:gridSpan w:val="8"/>
            <w:shd w:fill="dbe5f1" w:val="clear"/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Organizacja</w:t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vMerge w:val="restart"/>
            <w:tcBorders>
              <w:top w:color="b4c6e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vMerge w:val="restart"/>
            <w:tcBorders>
              <w:right w:color="b4c6e7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  <w:br w:type="textWrapping"/>
              <w:t xml:space="preserve">(W)</w:t>
            </w:r>
          </w:p>
        </w:tc>
        <w:tc>
          <w:tcPr>
            <w:gridSpan w:val="6"/>
            <w:tcBorders>
              <w:left w:color="b4c6e7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w grupach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tcBorders>
              <w:top w:color="b4c6e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b4c6e7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4c6e7" w:space="0" w:sz="4" w:val="single"/>
            </w:tcBorders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b4c6e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b4c6e7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0" w:type="dxa"/>
              <w:left w:w="28.0" w:type="dxa"/>
              <w:bottom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Style w:val="Heading2"/>
        <w:rPr/>
      </w:pPr>
      <w:r w:rsidDel="00000000" w:rsidR="00000000" w:rsidRPr="00000000">
        <w:rPr>
          <w:rtl w:val="0"/>
        </w:rPr>
        <w:t xml:space="preserve">Opis metod prowadzenia zajęć</w:t>
      </w:r>
    </w:p>
    <w:tbl>
      <w:tblPr>
        <w:tblStyle w:val="Table9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cantSplit w:val="0"/>
          <w:trHeight w:val="19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Wprowadzenie do podstawowych pojęć związanych z wideoedycją, takich jak rodzaje kadrów, techniki montażu, osie filmowe, jak również zapoznanie z zasadami projektowania graficznego oraz współczesną estetyką wizualną.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Ćwiczenia praktyczne – studenci pracują na oprogramowaniu Adobe Premiere Pro oraz innych narzędziach do edycji wideo (np. After Effects), ucząc się m.in. importowania materiałów, montażu na osi czasu, synchronizacji dźwięku z obrazem, dodawania efektów, przejść, napisów i animacji.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Prace projektowe – studenci realizują samodzielne projekty filmowe, w których wykorzystują zdobyte umiejętności, tworząc własne montażowe kompozycje wideo oraz scenariusze. 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Konsultacje indywidualne – studenci pracują samodzielnie nad swoimi projektami, otrzymując bezpośrednią pomoc i szczegółowy feedback. 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Prezentacje i dyskusje – studenci prezentują swoje projekty wideo, omawiając proces twórczy i podejmowane decyzje montażowe, co pozwala na wymianę doświadczeń oraz doskonalenie umiejętności komunikacji w kontekście pracy nad materiałem filmowym.</w:t>
            </w:r>
          </w:p>
        </w:tc>
      </w:tr>
    </w:tbl>
    <w:p w:rsidR="00000000" w:rsidDel="00000000" w:rsidP="00000000" w:rsidRDefault="00000000" w:rsidRPr="00000000" w14:paraId="00000081">
      <w:pPr>
        <w:pStyle w:val="Heading2"/>
        <w:rPr/>
      </w:pPr>
      <w:r w:rsidDel="00000000" w:rsidR="00000000" w:rsidRPr="00000000">
        <w:rPr>
          <w:rtl w:val="0"/>
        </w:rPr>
        <w:t xml:space="preserve">Formy sprawdzania efektów uczenia się</w:t>
      </w:r>
    </w:p>
    <w:tbl>
      <w:tblPr>
        <w:tblStyle w:val="Table10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1975"/>
        <w:gridCol w:w="7766"/>
        <w:tblGridChange w:id="0">
          <w:tblGrid>
            <w:gridCol w:w="1975"/>
            <w:gridCol w:w="7766"/>
          </w:tblGrid>
        </w:tblGridChange>
      </w:tblGrid>
      <w:tr>
        <w:trPr>
          <w:cantSplit w:val="1"/>
          <w:trHeight w:val="930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Efekt kierunkowy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Formy sprawdzania</w:t>
            </w:r>
          </w:p>
        </w:tc>
      </w:tr>
      <w:tr>
        <w:trPr>
          <w:cantSplit w:val="1"/>
          <w:trHeight w:val="399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Praca laboratoryjna, Projekt indywidualny, Udział w dyskusji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Praca laboratoryjna, Projekt indywidualny, Udział w dyskusji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Praca laboratoryjna, Projekt indywidualny, Udział w dyskusji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Praca laboratoryjna, Projekt indywidualny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Projekt indywidualny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Projekt grupowy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Praca laboratoryjna, Projekt indywidualny, Udział w dyskusji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768.0" w:type="dxa"/>
        <w:jc w:val="left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783"/>
        <w:tblGridChange w:id="0">
          <w:tblGrid>
            <w:gridCol w:w="1985"/>
            <w:gridCol w:w="778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Sposób zaliczenia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Zaliczenie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68.0" w:type="dxa"/>
        <w:jc w:val="left"/>
        <w:tblBorders>
          <w:top w:color="95b3d7" w:space="0" w:sz="2" w:val="single"/>
          <w:left w:color="95b3d7" w:space="0" w:sz="2" w:val="single"/>
          <w:bottom w:color="95b3d7" w:space="0" w:sz="2" w:val="single"/>
          <w:right w:color="95b3d7" w:space="0" w:sz="2" w:val="single"/>
          <w:insideH w:color="95b3d7" w:space="0" w:sz="2" w:val="single"/>
          <w:insideV w:color="95b3d7" w:space="0" w:sz="2" w:val="single"/>
        </w:tblBorders>
        <w:tblLayout w:type="fixed"/>
        <w:tblLook w:val="0000"/>
      </w:tblPr>
      <w:tblGrid>
        <w:gridCol w:w="1985"/>
        <w:gridCol w:w="7783"/>
        <w:tblGridChange w:id="0">
          <w:tblGrid>
            <w:gridCol w:w="1985"/>
            <w:gridCol w:w="778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Kryteria oceny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Jakość wykonania projektu – ocena poprawności technicznej i estetycznej, w tym montażu, synchronizacji obrazu z dźwiękiem oraz spójności wizualnej.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Zgodność z wytycznymi – ocena realizacji wymagań projektowych, w tym doboru narzędzi i metod pracy.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Kompozycja i struktura projektu – analiza organizacji materiału, płynności narracji oraz doboru kadrów.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i uzasadnienie – ocena sposobu obrony projektu i uzasadnienia decyzji montażowych.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Postępy i zaangażowanie – ocena aktywności, postępów i zaangażowania w realizację projektu.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Terminowość</w:t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rPr/>
      </w:pPr>
      <w:r w:rsidDel="00000000" w:rsidR="00000000" w:rsidRPr="00000000">
        <w:rPr>
          <w:rtl w:val="0"/>
        </w:rPr>
        <w:t xml:space="preserve">Treści merytoryczne (wykaz tematów)</w:t>
      </w:r>
    </w:p>
    <w:tbl>
      <w:tblPr>
        <w:tblStyle w:val="Table13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Wykład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-----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cantSplit w:val="0"/>
          <w:trHeight w:val="11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Ćwiczenia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Wprowadzenie do Wideoedycji, omówienie zasad kompozycji wizualnej, kadrowania i rodzajów montażu – 1h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Zapoznanie z interfejsem Adobe Premiere Pro, podstawy montażu filmowego - 2h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Analiza projektów indywidualnych z wykorzystaniem wstępnych scenariuszy i moodboardów, omówienie procesu twórczego i wyboru technik montażowych - 2h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Praca nad indywidualnymi projektami, konsultacje indywidualne i korekty realizacji – 3h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Finalizacja projektu i prezentacja – 1h</w:t>
            </w:r>
          </w:p>
        </w:tc>
      </w:tr>
    </w:tbl>
    <w:p w:rsidR="00000000" w:rsidDel="00000000" w:rsidP="00000000" w:rsidRDefault="00000000" w:rsidRPr="00000000" w14:paraId="000000B1">
      <w:pPr>
        <w:pStyle w:val="Heading2"/>
        <w:rPr/>
      </w:pPr>
      <w:r w:rsidDel="00000000" w:rsidR="00000000" w:rsidRPr="00000000">
        <w:rPr>
          <w:rtl w:val="0"/>
        </w:rPr>
        <w:t xml:space="preserve">Wykaz literatury podstawowej</w:t>
      </w:r>
    </w:p>
    <w:tbl>
      <w:tblPr>
        <w:tblStyle w:val="Table15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Daniel Ar., Gramatyka języka filmowego, 2011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Murch W., W mgnieniu oka. Sztuka montażu filmowego, 2006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Shaw A., Colette J., Motion Design Toolkit: Principles, Practice, and Techniques, 2022</w:t>
            </w:r>
          </w:p>
        </w:tc>
      </w:tr>
    </w:tbl>
    <w:p w:rsidR="00000000" w:rsidDel="00000000" w:rsidP="00000000" w:rsidRDefault="00000000" w:rsidRPr="00000000" w14:paraId="000000B5">
      <w:pPr>
        <w:pStyle w:val="Heading2"/>
        <w:rPr/>
      </w:pPr>
      <w:r w:rsidDel="00000000" w:rsidR="00000000" w:rsidRPr="00000000">
        <w:rPr>
          <w:rtl w:val="0"/>
        </w:rPr>
        <w:t xml:space="preserve">Wykaz literatury uzupełniającej</w:t>
      </w:r>
    </w:p>
    <w:tbl>
      <w:tblPr>
        <w:tblStyle w:val="Table16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000"/>
      </w:tblPr>
      <w:tblGrid>
        <w:gridCol w:w="9741"/>
        <w:tblGridChange w:id="0">
          <w:tblGrid>
            <w:gridCol w:w="974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Oszajca A., Wideotwórca. Jak tworzyć filmy w social mediach, 2024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Russin R., Jak napisać scenariusz filmowy, 2005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Style w:val="Heading2"/>
        <w:rPr/>
      </w:pPr>
      <w:r w:rsidDel="00000000" w:rsidR="00000000" w:rsidRPr="00000000">
        <w:rPr>
          <w:rtl w:val="0"/>
        </w:rPr>
        <w:t xml:space="preserve">Bilans godzinowy zgodny z CNPS (Całkowity Nakład Pracy Studenta)</w:t>
      </w:r>
    </w:p>
    <w:tbl>
      <w:tblPr>
        <w:tblStyle w:val="Table17"/>
        <w:tblW w:w="9741.0" w:type="dxa"/>
        <w:jc w:val="left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3401"/>
        <w:gridCol w:w="5311"/>
        <w:gridCol w:w="1029"/>
        <w:tblGridChange w:id="0">
          <w:tblGrid>
            <w:gridCol w:w="3401"/>
            <w:gridCol w:w="5311"/>
            <w:gridCol w:w="1029"/>
          </w:tblGrid>
        </w:tblGridChange>
      </w:tblGrid>
      <w:tr>
        <w:trPr>
          <w:cantSplit w:val="1"/>
          <w:trHeight w:val="334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Liczba godzin w kontakcie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1"/>
          <w:trHeight w:val="332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Konwersatorium (ćwiczenia, laboratorium itd.)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Pozostałe godziny kontaktu studenta z prowadzącym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restart"/>
            <w:shd w:fill="dbe5f1" w:val="clear"/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Liczba godzin pracy studenta bez kontaktu z prowadzącymi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Lektura w ramach przygotowania do zajęć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1"/>
          <w:trHeight w:val="79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krótkiej pracy pisemnej lub referatu po zapoznaniu się z niezbędną literaturą przedmiotu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1"/>
          <w:trHeight w:val="794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projektu lub prezentacji na podany temat (praca w grupie)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shd w:fill="dbe5f1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Przygotowanie do egzaminu/zaliczenia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2"/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Ogółem bilans czasu pracy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gridSpan w:val="2"/>
            <w:tcBorders>
              <w:bottom w:color="95b3d7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Liczba punktów ECTS w zależności od przyjętego przelicznika</w:t>
            </w:r>
          </w:p>
        </w:tc>
        <w:tc>
          <w:tcPr>
            <w:tcBorders>
              <w:bottom w:color="95b3d7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7" w:w="11905" w:orient="portrait"/>
          <w:pgMar w:bottom="1077" w:top="1531" w:left="1077" w:right="1077" w:header="284" w:footer="45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type w:val="continuous"/>
      <w:pgSz w:h="16837" w:w="11905" w:orient="portrait"/>
      <w:pgMar w:bottom="1077" w:top="1531" w:left="1077" w:right="1077" w:header="284" w:footer="45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tabs>
        <w:tab w:val="right" w:leader="none" w:pos="9751"/>
      </w:tabs>
      <w:rPr/>
    </w:pPr>
    <w:r w:rsidDel="00000000" w:rsidR="00000000" w:rsidRPr="00000000">
      <w:rPr>
        <w:rtl w:val="0"/>
      </w:rPr>
      <w:t xml:space="preserve">Karta dla kursu Wideoedycja</w:t>
      <w:tab/>
      <w:t xml:space="preserve">str.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tabs>
        <w:tab w:val="right" w:leader="none" w:pos="9751"/>
      </w:tabs>
      <w:rPr/>
    </w:pPr>
    <w:r w:rsidDel="00000000" w:rsidR="00000000" w:rsidRPr="00000000">
      <w:rPr>
        <w:rtl w:val="0"/>
      </w:rPr>
      <w:t xml:space="preserve">Karta dla kursu Wideoedycja</w:t>
      <w:tab/>
      <w:t xml:space="preserve">str.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jc w:val="center"/>
      <w:rPr/>
    </w:pPr>
    <w:r w:rsidDel="00000000" w:rsidR="00000000" w:rsidRPr="00000000">
      <w:rPr>
        <w:rtl w:val="0"/>
      </w:rPr>
      <w:t xml:space="preserve">Kierunek: Architektura informacji</w:t>
    </w:r>
  </w:p>
  <w:p w:rsidR="00000000" w:rsidDel="00000000" w:rsidP="00000000" w:rsidRDefault="00000000" w:rsidRPr="00000000" w14:paraId="000000D8">
    <w:pPr>
      <w:jc w:val="center"/>
      <w:rPr/>
    </w:pPr>
    <w:r w:rsidDel="00000000" w:rsidR="00000000" w:rsidRPr="00000000">
      <w:rPr>
        <w:rtl w:val="0"/>
      </w:rPr>
      <w:t xml:space="preserve">Studia niestacjonarne I stopnia, III rok, semestr zimowy (kurs obligatoryjny)</w:t>
      <w:br w:type="textWrapping"/>
      <w:t xml:space="preserve">Karta kursu zgodna z programem i planem dla roku akademickiego 2022/2023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jc w:val="center"/>
      <w:rPr/>
    </w:pPr>
    <w:r w:rsidDel="00000000" w:rsidR="00000000" w:rsidRPr="00000000">
      <w:rPr>
        <w:rtl w:val="0"/>
      </w:rPr>
      <w:t xml:space="preserve">Kierunek: Architektura informacji</w:t>
    </w:r>
  </w:p>
  <w:p w:rsidR="00000000" w:rsidDel="00000000" w:rsidP="00000000" w:rsidRDefault="00000000" w:rsidRPr="00000000" w14:paraId="000000DA">
    <w:pPr>
      <w:jc w:val="center"/>
      <w:rPr/>
    </w:pPr>
    <w:r w:rsidDel="00000000" w:rsidR="00000000" w:rsidRPr="00000000">
      <w:rPr>
        <w:rtl w:val="0"/>
      </w:rPr>
      <w:t xml:space="preserve">Studia stacjonarne I stopnia, III rok, semestr zimowy (kurs obligatoryjny)</w:t>
      <w:br w:type="textWrapping"/>
      <w:t xml:space="preserve">Karta kursu zgodna z programem i planem dla roku akademickiego 2022/2023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  <w:jc w:val="center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240" w:before="240" w:lineRule="auto"/>
    </w:pPr>
    <w:rPr>
      <w:rFonts w:ascii="Calibri" w:cs="Calibri" w:eastAsia="Calibri" w:hAnsi="Calibri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E4FF0"/>
    <w:pPr>
      <w:widowControl w:val="0"/>
      <w:suppressAutoHyphens w:val="1"/>
      <w:autoSpaceDE w:val="0"/>
    </w:pPr>
    <w:rPr>
      <w:rFonts w:ascii="Aptos" w:cs="Arial" w:hAnsi="Aptos"/>
      <w:sz w:val="22"/>
      <w:szCs w:val="22"/>
    </w:rPr>
  </w:style>
  <w:style w:type="paragraph" w:styleId="Nagwek1">
    <w:name w:val="heading 1"/>
    <w:basedOn w:val="Normalny"/>
    <w:next w:val="Normalny"/>
    <w:qFormat w:val="1"/>
    <w:rsid w:val="007E4FF0"/>
    <w:pPr>
      <w:keepNext w:val="1"/>
      <w:autoSpaceDE w:val="1"/>
      <w:spacing w:after="240" w:before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7E4FF0"/>
    <w:pPr>
      <w:keepNext w:val="1"/>
      <w:spacing w:after="240" w:before="240"/>
      <w:outlineLvl w:val="1"/>
    </w:pPr>
    <w:rPr>
      <w:rFonts w:asciiTheme="minorHAnsi" w:cstheme="majorBidi" w:eastAsiaTheme="majorEastAsia" w:hAnsiTheme="minorHAnsi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Znakinumeracji" w:customStyle="1">
    <w:name w:val="Znaki numeracji"/>
  </w:style>
  <w:style w:type="character" w:styleId="Numerstrony">
    <w:name w:val="page number"/>
    <w:semiHidden w:val="1"/>
    <w:rPr>
      <w:sz w:val="14"/>
      <w:szCs w:val="14"/>
    </w:rPr>
  </w:style>
  <w:style w:type="paragraph" w:styleId="Tekstpodstawowy">
    <w:name w:val="Body Text"/>
    <w:basedOn w:val="Normalny"/>
    <w:semiHidden w:val="1"/>
    <w:pPr>
      <w:spacing w:after="120"/>
    </w:pPr>
  </w:style>
  <w:style w:type="paragraph" w:styleId="Podpis1" w:customStyle="1">
    <w:name w:val="Podpis1"/>
    <w:basedOn w:val="Normalny"/>
    <w:pPr>
      <w:suppressLineNumbers w:val="1"/>
      <w:spacing w:after="120" w:before="120"/>
    </w:pPr>
    <w:rPr>
      <w:i w:val="1"/>
      <w:iCs w:val="1"/>
    </w:rPr>
  </w:style>
  <w:style w:type="paragraph" w:styleId="Nagwek">
    <w:name w:val="header"/>
    <w:basedOn w:val="Normalny"/>
    <w:next w:val="Tekstpodstawowy"/>
    <w:semiHidden w:val="1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 w:val="1"/>
  </w:style>
  <w:style w:type="paragraph" w:styleId="Stopka">
    <w:name w:val="footer"/>
    <w:basedOn w:val="Normalny"/>
    <w:semiHidden w:val="1"/>
    <w:pPr>
      <w:tabs>
        <w:tab w:val="center" w:pos="4536"/>
        <w:tab w:val="right" w:pos="9072"/>
      </w:tabs>
      <w:autoSpaceDE w:val="1"/>
    </w:pPr>
  </w:style>
  <w:style w:type="paragraph" w:styleId="Zawartotabeli" w:customStyle="1">
    <w:name w:val="Zawartość tabeli"/>
    <w:basedOn w:val="Normalny"/>
    <w:pPr>
      <w:suppressLineNumbers w:val="1"/>
    </w:pPr>
  </w:style>
  <w:style w:type="paragraph" w:styleId="Nagwektabeli" w:customStyle="1">
    <w:name w:val="Nagłówek tabeli"/>
    <w:basedOn w:val="Zawartotabeli"/>
    <w:pPr>
      <w:jc w:val="center"/>
    </w:pPr>
    <w:rPr>
      <w:b w:val="1"/>
      <w:bCs w:val="1"/>
      <w:i w:val="1"/>
      <w:iCs w:val="1"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 w:val="1"/>
    </w:pPr>
  </w:style>
  <w:style w:type="character" w:styleId="Odwoaniedokomentarza">
    <w:name w:val="annotation reference"/>
    <w:semiHidden w:val="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 w:val="1"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 w:val="1"/>
      <w:bCs w:val="1"/>
    </w:rPr>
  </w:style>
  <w:style w:type="paragraph" w:styleId="Tekstdymka1" w:customStyle="1">
    <w:name w:val="Tekst dymka1"/>
    <w:basedOn w:val="Normalny"/>
    <w:rPr>
      <w:rFonts w:ascii="Tahoma" w:cs="Tahoma" w:hAnsi="Tahoma"/>
      <w:sz w:val="16"/>
      <w:szCs w:val="16"/>
    </w:rPr>
  </w:style>
  <w:style w:type="paragraph" w:styleId="Tekstprzypisudolnego">
    <w:name w:val="footnote text"/>
    <w:basedOn w:val="Normalny"/>
    <w:semiHidden w:val="1"/>
    <w:rPr>
      <w:sz w:val="20"/>
      <w:szCs w:val="20"/>
    </w:rPr>
  </w:style>
  <w:style w:type="character" w:styleId="Odwoanieprzypisudolnego">
    <w:name w:val="footnote reference"/>
    <w:semiHidden w:val="1"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27D3B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827D3B"/>
    <w:rPr>
      <w:rFonts w:ascii="Tahoma" w:cs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026FF"/>
    <w:rPr>
      <w:b w:val="1"/>
      <w:bCs w:val="1"/>
    </w:rPr>
  </w:style>
  <w:style w:type="character" w:styleId="TekstkomentarzaZnak" w:customStyle="1">
    <w:name w:val="Tekst komentarza Znak"/>
    <w:basedOn w:val="Domylnaczcionkaakapitu"/>
    <w:link w:val="Tekstkomentarza"/>
    <w:semiHidden w:val="1"/>
    <w:rsid w:val="009026FF"/>
  </w:style>
  <w:style w:type="character" w:styleId="TematkomentarzaZnak" w:customStyle="1">
    <w:name w:val="Temat komentarza Znak"/>
    <w:link w:val="Tematkomentarza"/>
    <w:uiPriority w:val="99"/>
    <w:semiHidden w:val="1"/>
    <w:rsid w:val="009026FF"/>
    <w:rPr>
      <w:b w:val="1"/>
      <w:bCs w:val="1"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cstheme="majorBidi" w:eastAsiaTheme="majorEastAsia" w:hAnsiTheme="minorHAnsi"/>
      <w:sz w:val="28"/>
      <w:szCs w:val="28"/>
    </w:rPr>
  </w:style>
  <w:style w:type="character" w:styleId="Hipercze">
    <w:name w:val="Hyperlink"/>
    <w:basedOn w:val="Domylnaczcionkaakapitu"/>
    <w:uiPriority w:val="99"/>
    <w:unhideWhenUsed w:val="1"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57314"/>
    <w:rPr>
      <w:color w:val="605e5c"/>
      <w:shd w:color="auto" w:fill="e1dfdd" w:val="clear"/>
    </w:rPr>
  </w:style>
  <w:style w:type="paragraph" w:styleId="Akapitzlist">
    <w:name w:val="List Paragraph"/>
    <w:basedOn w:val="Normalny"/>
    <w:uiPriority w:val="34"/>
    <w:qFormat w:val="1"/>
    <w:rsid w:val="00F57314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3124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113.0" w:type="dxa"/>
        <w:bottom w:w="28.0" w:type="dxa"/>
        <w:right w:w="11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113.0" w:type="dxa"/>
        <w:bottom w:w="55.0" w:type="dxa"/>
        <w:right w:w="11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113.0" w:type="dxa"/>
        <w:bottom w:w="55.0" w:type="dxa"/>
        <w:right w:w="11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28.0" w:type="dxa"/>
        <w:left w:w="113.0" w:type="dxa"/>
        <w:bottom w:w="28.0" w:type="dxa"/>
        <w:right w:w="11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28.0" w:type="dxa"/>
        <w:left w:w="113.0" w:type="dxa"/>
        <w:bottom w:w="28.0" w:type="dxa"/>
        <w:right w:w="11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3.0" w:type="dxa"/>
        <w:bottom w:w="0.0" w:type="dxa"/>
        <w:right w:w="113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6FQFq98jtUYEheFbGjXAL4H1w==">CgMxLjA4AHIhMUVGU0htUzFmSVV5NXFtU3BXOVdybG4zZFNSa1E1cVVR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2025-02-16T13:26:00Z</dcterms:created>
  <dc:creator>Piotr Andrusiewicz</dc:creator>
</cp:coreProperties>
</file>