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9F35" w14:textId="77777777" w:rsidR="005B5485" w:rsidRDefault="005B5485">
      <w:pPr>
        <w:jc w:val="right"/>
      </w:pPr>
      <w:r>
        <w:t>Załącznik nr 4 do Zarządzenia Nr 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5548926" w14:textId="77777777" w:rsidR="005B5485" w:rsidRDefault="005B5485">
      <w:pPr>
        <w:pStyle w:val="Nagwek1"/>
        <w:spacing w:before="360" w:after="240"/>
      </w:pPr>
      <w:r>
        <w:rPr>
          <w:rFonts w:ascii="Calibri" w:hAnsi="Calibri" w:cs="Calibri"/>
          <w:sz w:val="22"/>
          <w:szCs w:val="22"/>
        </w:rPr>
        <w:t>KARTA KURSU</w:t>
      </w:r>
    </w:p>
    <w:p w14:paraId="371E48ED" w14:textId="77777777" w:rsidR="005B5485" w:rsidRDefault="005B5485">
      <w:pPr>
        <w:rPr>
          <w:rFonts w:cs="Calibri"/>
        </w:rPr>
      </w:pPr>
    </w:p>
    <w:tbl>
      <w:tblPr>
        <w:tblW w:w="495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0"/>
        <w:gridCol w:w="7689"/>
      </w:tblGrid>
      <w:tr w:rsidR="005B5485" w14:paraId="791071EF" w14:textId="77777777">
        <w:trPr>
          <w:trHeight w:val="395"/>
        </w:trPr>
        <w:tc>
          <w:tcPr>
            <w:tcW w:w="19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FE088F0" w14:textId="77777777" w:rsidR="005B5485" w:rsidRDefault="005B5485">
            <w:r>
              <w:rPr>
                <w:rFonts w:cs="Calibri"/>
              </w:rPr>
              <w:t>Nazwa</w:t>
            </w:r>
          </w:p>
        </w:tc>
        <w:tc>
          <w:tcPr>
            <w:tcW w:w="769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3F214B1" w14:textId="77777777" w:rsidR="005B5485" w:rsidRDefault="005B5485">
            <w:pPr>
              <w:pStyle w:val="Zawartotabeli"/>
              <w:snapToGrid w:val="0"/>
              <w:spacing w:before="60" w:after="60"/>
              <w:jc w:val="center"/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Psychologia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val="en-US"/>
              </w:rPr>
              <w:t>komunikacji</w:t>
            </w:r>
            <w:proofErr w:type="spellEnd"/>
          </w:p>
        </w:tc>
      </w:tr>
      <w:tr w:rsidR="005B5485" w14:paraId="0BAEA874" w14:textId="77777777">
        <w:trPr>
          <w:trHeight w:val="379"/>
        </w:trPr>
        <w:tc>
          <w:tcPr>
            <w:tcW w:w="19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6EFE167" w14:textId="77777777" w:rsidR="005B5485" w:rsidRDefault="005B5485">
            <w:r>
              <w:rPr>
                <w:rFonts w:cs="Calibri"/>
              </w:rPr>
              <w:t>Nazwa w j. ang.</w:t>
            </w:r>
          </w:p>
        </w:tc>
        <w:tc>
          <w:tcPr>
            <w:tcW w:w="769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BA6DE65" w14:textId="77777777" w:rsidR="005B5485" w:rsidRDefault="005B5485">
            <w:pPr>
              <w:pStyle w:val="Zawartotabeli"/>
              <w:snapToGrid w:val="0"/>
              <w:spacing w:before="60" w:after="60"/>
              <w:jc w:val="center"/>
            </w:pPr>
            <w:r>
              <w:rPr>
                <w:rStyle w:val="hps"/>
                <w:rFonts w:cs="Calibri"/>
                <w:lang w:val="en-US"/>
              </w:rPr>
              <w:t>Psychology of Communication</w:t>
            </w:r>
          </w:p>
        </w:tc>
      </w:tr>
    </w:tbl>
    <w:p w14:paraId="468122DC" w14:textId="77777777" w:rsidR="005B5485" w:rsidRDefault="005B5485">
      <w:pPr>
        <w:rPr>
          <w:rFonts w:cs="Calibri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4"/>
        <w:gridCol w:w="3871"/>
        <w:gridCol w:w="3901"/>
      </w:tblGrid>
      <w:tr w:rsidR="005B5485" w14:paraId="7FFEB3BA" w14:textId="77777777">
        <w:trPr>
          <w:cantSplit/>
          <w:trHeight w:val="397"/>
        </w:trPr>
        <w:tc>
          <w:tcPr>
            <w:tcW w:w="197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3233F04" w14:textId="77777777" w:rsidR="005B5485" w:rsidRDefault="005B5485">
            <w:pPr>
              <w:pStyle w:val="Zawartotabeli"/>
            </w:pPr>
            <w:r>
              <w:rPr>
                <w:rFonts w:cs="Calibri"/>
              </w:rPr>
              <w:t>Koordynator</w:t>
            </w:r>
          </w:p>
        </w:tc>
        <w:tc>
          <w:tcPr>
            <w:tcW w:w="3873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A356846" w14:textId="77777777" w:rsidR="005B5485" w:rsidRDefault="005B5485">
            <w:pPr>
              <w:pStyle w:val="Zawartotabeli"/>
              <w:snapToGrid w:val="0"/>
              <w:rPr>
                <w:rFonts w:cs="Calibri"/>
                <w:lang w:val="en-US"/>
              </w:rPr>
            </w:pPr>
          </w:p>
          <w:p w14:paraId="4DEE2DE1" w14:textId="77777777" w:rsidR="005B5485" w:rsidRDefault="005B5485">
            <w:pPr>
              <w:pStyle w:val="Zawartotabeli"/>
            </w:pPr>
            <w:r>
              <w:rPr>
                <w:rFonts w:cs="Calibri"/>
                <w:lang w:val="en-US"/>
              </w:rPr>
              <w:t>dr Wanda Matras-Mastalerz</w:t>
            </w:r>
          </w:p>
        </w:tc>
        <w:tc>
          <w:tcPr>
            <w:tcW w:w="390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562F285" w14:textId="77777777" w:rsidR="005B5485" w:rsidRDefault="005B5485">
            <w:pPr>
              <w:pStyle w:val="Zawartotabeli"/>
            </w:pPr>
            <w:r>
              <w:rPr>
                <w:rFonts w:cs="Calibri"/>
              </w:rPr>
              <w:t>Zespół dydaktyczny</w:t>
            </w:r>
          </w:p>
        </w:tc>
      </w:tr>
      <w:tr w:rsidR="005B5485" w14:paraId="2B69EDFF" w14:textId="77777777">
        <w:trPr>
          <w:cantSplit/>
          <w:trHeight w:val="397"/>
        </w:trPr>
        <w:tc>
          <w:tcPr>
            <w:tcW w:w="197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941D77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387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DF4A610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3903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D936A82" w14:textId="77777777" w:rsidR="005B5485" w:rsidRDefault="0030000D">
            <w:pPr>
              <w:snapToGrid w:val="0"/>
              <w:spacing w:before="57" w:after="57"/>
              <w:ind w:left="720"/>
              <w:jc w:val="center"/>
            </w:pPr>
            <w:r>
              <w:rPr>
                <w:rFonts w:cs="Calibri"/>
                <w:lang w:val="en-US"/>
              </w:rPr>
              <w:t>dr Wanda Matras-Mastalerz</w:t>
            </w:r>
          </w:p>
        </w:tc>
      </w:tr>
      <w:tr w:rsidR="005B5485" w14:paraId="1626297E" w14:textId="77777777">
        <w:trPr>
          <w:cantSplit/>
          <w:trHeight w:val="397"/>
        </w:trPr>
        <w:tc>
          <w:tcPr>
            <w:tcW w:w="197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9DC1147" w14:textId="77777777" w:rsidR="005B5485" w:rsidRDefault="005B5485">
            <w:pPr>
              <w:pStyle w:val="Zawartotabeli"/>
            </w:pPr>
            <w:r>
              <w:rPr>
                <w:rFonts w:cs="Calibri"/>
              </w:rPr>
              <w:t>Punktacja ECTS*</w:t>
            </w:r>
          </w:p>
        </w:tc>
        <w:tc>
          <w:tcPr>
            <w:tcW w:w="3873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A8F88C4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3</w:t>
            </w:r>
          </w:p>
        </w:tc>
        <w:tc>
          <w:tcPr>
            <w:tcW w:w="390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F7E94FA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</w:tbl>
    <w:p w14:paraId="5112851D" w14:textId="77777777" w:rsidR="005B5485" w:rsidRDefault="005B5485">
      <w:pPr>
        <w:pStyle w:val="Nagwek2"/>
      </w:pPr>
      <w:r>
        <w:rPr>
          <w:rFonts w:ascii="Calibri" w:hAnsi="Calibri" w:cs="Calibri"/>
          <w:sz w:val="22"/>
          <w:szCs w:val="22"/>
        </w:rPr>
        <w:t>Opis kursu (cele kształcenia)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5B5485" w14:paraId="0D39C346" w14:textId="77777777">
        <w:trPr>
          <w:trHeight w:val="1365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E89882B" w14:textId="77777777" w:rsidR="005B5485" w:rsidRDefault="005B5485">
            <w:pPr>
              <w:snapToGrid w:val="0"/>
              <w:jc w:val="both"/>
            </w:pPr>
            <w:r w:rsidRPr="00EA26FA">
              <w:rPr>
                <w:rFonts w:cs="Calibri"/>
              </w:rPr>
              <w:t xml:space="preserve">Celem wykładu jest zapoznanie Studentów z wiedzą dotyczącą procesów komunikowania interpersonalnego i społecznego, ich prawidłowości i zakłóceń; przekazanie specjalistycznej wiedzy i praktycznych umiejętności z zakresu psychologicznych, lingwistycznych i socjologicznych podstaw komunikowania się w sytuacjach społecznych. </w:t>
            </w:r>
          </w:p>
        </w:tc>
      </w:tr>
    </w:tbl>
    <w:p w14:paraId="7C050C3F" w14:textId="77777777" w:rsidR="005B5485" w:rsidRDefault="005B5485">
      <w:pPr>
        <w:pStyle w:val="Nagwek2"/>
      </w:pPr>
      <w:r>
        <w:rPr>
          <w:rFonts w:ascii="Calibri" w:hAnsi="Calibri" w:cs="Calibri"/>
          <w:sz w:val="22"/>
          <w:szCs w:val="22"/>
        </w:rPr>
        <w:t>Warunki wstępne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0"/>
        <w:gridCol w:w="7776"/>
      </w:tblGrid>
      <w:tr w:rsidR="005B5485" w14:paraId="53F5CEE4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8B3D973" w14:textId="77777777" w:rsidR="005B5485" w:rsidRDefault="005B5485">
            <w:r>
              <w:rPr>
                <w:rFonts w:cs="Calibri"/>
              </w:rPr>
              <w:t>Wiedza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6AA07B0" w14:textId="77777777" w:rsidR="005B5485" w:rsidRDefault="005B5485">
            <w:r>
              <w:rPr>
                <w:rFonts w:cs="Calibri"/>
              </w:rPr>
              <w:t xml:space="preserve">Podstawowa wiedza na temat relacji międzyludzkich </w:t>
            </w:r>
          </w:p>
        </w:tc>
      </w:tr>
      <w:tr w:rsidR="005B5485" w14:paraId="3CF8D6DC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80EE682" w14:textId="77777777" w:rsidR="005B5485" w:rsidRDefault="005B5485">
            <w:r>
              <w:rPr>
                <w:rFonts w:cs="Calibri"/>
              </w:rPr>
              <w:t>Umiejętności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EADCF5D" w14:textId="77777777" w:rsidR="005B5485" w:rsidRDefault="005B5485">
            <w:r>
              <w:rPr>
                <w:rFonts w:cs="Calibri"/>
              </w:rPr>
              <w:t>Umiejętności przekazywania i odbioru informacji wykształcone na poziomie szkoły średniej</w:t>
            </w:r>
          </w:p>
        </w:tc>
      </w:tr>
      <w:tr w:rsidR="005B5485" w14:paraId="46094488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15798FA" w14:textId="77777777" w:rsidR="005B5485" w:rsidRDefault="005B5485">
            <w:r>
              <w:rPr>
                <w:rFonts w:cs="Calibri"/>
              </w:rPr>
              <w:t>Kursy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8948D9C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</w:tbl>
    <w:p w14:paraId="6C96EB59" w14:textId="77777777" w:rsidR="005B5485" w:rsidRDefault="005B5485">
      <w:pPr>
        <w:pStyle w:val="Nagwek2"/>
      </w:pPr>
      <w:r>
        <w:rPr>
          <w:rFonts w:ascii="Calibri" w:hAnsi="Calibri" w:cs="Calibri"/>
          <w:sz w:val="22"/>
          <w:szCs w:val="22"/>
        </w:rPr>
        <w:t>Efekty uczenia się</w:t>
      </w: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5380"/>
        <w:gridCol w:w="2313"/>
      </w:tblGrid>
      <w:tr w:rsidR="005B5485" w14:paraId="7513EE98" w14:textId="77777777">
        <w:trPr>
          <w:cantSplit/>
          <w:trHeight w:val="930"/>
        </w:trPr>
        <w:tc>
          <w:tcPr>
            <w:tcW w:w="195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4CF9C48" w14:textId="77777777" w:rsidR="005B5485" w:rsidRDefault="005B5485">
            <w:r>
              <w:rPr>
                <w:rFonts w:cs="Calibri"/>
              </w:rPr>
              <w:t>Wiedza</w:t>
            </w: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BAB662C" w14:textId="77777777" w:rsidR="005B5485" w:rsidRDefault="005B5485">
            <w:r>
              <w:rPr>
                <w:rFonts w:cs="Calibri"/>
              </w:rPr>
              <w:t>Efekt kształcenia dla kursu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97B951A" w14:textId="77777777" w:rsidR="005B5485" w:rsidRDefault="005B5485">
            <w:pPr>
              <w:jc w:val="center"/>
            </w:pPr>
            <w:r>
              <w:rPr>
                <w:rFonts w:cs="Calibri"/>
              </w:rPr>
              <w:t>Odniesienie do efektów kierunkowych</w:t>
            </w:r>
          </w:p>
        </w:tc>
      </w:tr>
      <w:tr w:rsidR="005B5485" w14:paraId="5BAE6FEB" w14:textId="77777777">
        <w:trPr>
          <w:cantSplit/>
          <w:trHeight w:val="399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8B5297E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9058C61" w14:textId="77777777" w:rsidR="005B5485" w:rsidRDefault="005B5485">
            <w:r>
              <w:rPr>
                <w:rFonts w:cs="Calibri"/>
              </w:rPr>
              <w:t xml:space="preserve">W01, </w:t>
            </w:r>
            <w:r>
              <w:t xml:space="preserve">Student posiada wiedzę na temat procesów komunikacyjnych, rozumie problemy związane z właściwym nadawaniem i odbieraniem komunikatów, przewiduje możliwość wystąpienia barier komunikacyjnych. </w:t>
            </w:r>
          </w:p>
          <w:p w14:paraId="64E75BA0" w14:textId="77777777" w:rsidR="005B5485" w:rsidRDefault="005B5485">
            <w:pPr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AB2E2AB" w14:textId="2A769502" w:rsidR="005B5485" w:rsidRDefault="005B5485">
            <w:pPr>
              <w:suppressAutoHyphens w:val="0"/>
              <w:snapToGrid w:val="0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K_W01</w:t>
            </w:r>
          </w:p>
        </w:tc>
      </w:tr>
      <w:tr w:rsidR="005B5485" w14:paraId="4CEE6C0C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E08743F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560619D" w14:textId="77777777" w:rsidR="005B5485" w:rsidRDefault="005B5485">
            <w:r>
              <w:rPr>
                <w:rFonts w:cs="Calibri"/>
              </w:rPr>
              <w:t xml:space="preserve">W02,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Student zna najważniejsze tradycyjne i współczesne teorie komunikowania społecznego, rozumie ich psychologiczne, historyczne i kulturowe uwarunkowania oraz ma podstawową wiedzę z zakresu psychologii o uczestnikach procesu komunikowania. 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D8D9DE0" w14:textId="223F4758" w:rsidR="005B5485" w:rsidRDefault="005B5485">
            <w:pPr>
              <w:suppressAutoHyphens w:val="0"/>
              <w:snapToGrid w:val="0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K_W02</w:t>
            </w:r>
          </w:p>
        </w:tc>
      </w:tr>
      <w:tr w:rsidR="005B5485" w14:paraId="57A79D61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1B3E1BF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CE850FA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7775293" w14:textId="77777777" w:rsidR="005B5485" w:rsidRDefault="005B5485">
            <w:pPr>
              <w:snapToGrid w:val="0"/>
              <w:jc w:val="center"/>
              <w:rPr>
                <w:rFonts w:cs="Calibri"/>
              </w:rPr>
            </w:pPr>
          </w:p>
        </w:tc>
      </w:tr>
    </w:tbl>
    <w:p w14:paraId="544D731F" w14:textId="77777777" w:rsidR="005B5485" w:rsidRDefault="005B5485">
      <w:pPr>
        <w:rPr>
          <w:rFonts w:cs="Calibri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5380"/>
        <w:gridCol w:w="2313"/>
      </w:tblGrid>
      <w:tr w:rsidR="005B5485" w14:paraId="7594ABB5" w14:textId="77777777">
        <w:trPr>
          <w:cantSplit/>
          <w:trHeight w:val="930"/>
        </w:trPr>
        <w:tc>
          <w:tcPr>
            <w:tcW w:w="195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A4640C8" w14:textId="77777777" w:rsidR="005B5485" w:rsidRDefault="005B5485">
            <w:r>
              <w:rPr>
                <w:rFonts w:cs="Calibri"/>
              </w:rPr>
              <w:lastRenderedPageBreak/>
              <w:t>Umiejętności</w:t>
            </w: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4300E4D" w14:textId="77777777" w:rsidR="005B5485" w:rsidRDefault="005B5485">
            <w:r>
              <w:rPr>
                <w:rFonts w:cs="Calibri"/>
              </w:rPr>
              <w:t>Efekt kształcenia dla kursu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2A16B0D" w14:textId="77777777" w:rsidR="005B5485" w:rsidRDefault="005B5485">
            <w:pPr>
              <w:jc w:val="center"/>
            </w:pPr>
            <w:r>
              <w:rPr>
                <w:rFonts w:cs="Calibri"/>
              </w:rPr>
              <w:t>Odniesienie do efektów kierunkowych</w:t>
            </w:r>
          </w:p>
        </w:tc>
      </w:tr>
      <w:tr w:rsidR="005B5485" w14:paraId="22A90F35" w14:textId="77777777">
        <w:trPr>
          <w:cantSplit/>
          <w:trHeight w:val="399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38C44B9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73564B8" w14:textId="77777777" w:rsidR="005B5485" w:rsidRDefault="005B5485">
            <w:r>
              <w:rPr>
                <w:rFonts w:cs="Calibri"/>
              </w:rPr>
              <w:t xml:space="preserve">U01,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Student potrafi używać języka specjalistycznego i porozumiewać się w sposób precyzyjny oraz spójny przy użyciu różnych kanałów, gatunków i technik komunikacyjnych. </w:t>
            </w:r>
          </w:p>
          <w:p w14:paraId="7665B5D1" w14:textId="77777777" w:rsidR="005B5485" w:rsidRDefault="005B5485">
            <w:pPr>
              <w:pStyle w:val="Tekstpodstawowy"/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6FCFE00" w14:textId="70A0B7BC" w:rsidR="005B5485" w:rsidRDefault="005B5485">
            <w:pPr>
              <w:widowControl/>
              <w:suppressAutoHyphens w:val="0"/>
              <w:snapToGrid w:val="0"/>
              <w:jc w:val="both"/>
            </w:pPr>
            <w:r>
              <w:rPr>
                <w:rFonts w:eastAsia="Calibri" w:cs="Calibri"/>
                <w:b/>
                <w:lang w:eastAsia="en-US"/>
              </w:rPr>
              <w:t>K_U01</w:t>
            </w:r>
          </w:p>
        </w:tc>
      </w:tr>
      <w:tr w:rsidR="005B5485" w14:paraId="471C0A4F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AB9297D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C7973F5" w14:textId="77777777" w:rsidR="005B5485" w:rsidRDefault="005B5485">
            <w:pPr>
              <w:pStyle w:val="Tekstpodstawowy"/>
            </w:pPr>
            <w:r>
              <w:rPr>
                <w:rFonts w:cs="Calibri"/>
              </w:rPr>
              <w:t>U02</w:t>
            </w:r>
            <w:proofErr w:type="gramStart"/>
            <w:r>
              <w:rPr>
                <w:rFonts w:cs="Calibri"/>
              </w:rPr>
              <w:t xml:space="preserve">, </w:t>
            </w:r>
            <w:r>
              <w:t>.</w:t>
            </w:r>
            <w:proofErr w:type="gramEnd"/>
            <w:r>
              <w:t xml:space="preserve"> Potrafi wypowiadać się w różnych stylach rozmowy, na różnych płaszczyznach wypowiedzi. 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A6245CA" w14:textId="60B58D0C" w:rsidR="005B5485" w:rsidRDefault="005B5485">
            <w:pPr>
              <w:suppressAutoHyphens w:val="0"/>
              <w:snapToGrid w:val="0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K_U03</w:t>
            </w:r>
          </w:p>
        </w:tc>
      </w:tr>
      <w:tr w:rsidR="005B5485" w14:paraId="6774EB85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9C44DD2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AEA31F4" w14:textId="77777777" w:rsidR="005B5485" w:rsidRDefault="005B5485"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58B2E1E" w14:textId="77777777" w:rsidR="005B5485" w:rsidRDefault="005B5485">
            <w:pPr>
              <w:snapToGrid w:val="0"/>
              <w:jc w:val="center"/>
              <w:rPr>
                <w:rFonts w:cs="Calibri"/>
              </w:rPr>
            </w:pPr>
          </w:p>
        </w:tc>
      </w:tr>
    </w:tbl>
    <w:p w14:paraId="0B7C371E" w14:textId="77777777" w:rsidR="005B5485" w:rsidRDefault="005B5485">
      <w:pPr>
        <w:rPr>
          <w:rFonts w:cs="Calibri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5380"/>
        <w:gridCol w:w="2313"/>
      </w:tblGrid>
      <w:tr w:rsidR="005B5485" w14:paraId="31448FF4" w14:textId="77777777">
        <w:trPr>
          <w:cantSplit/>
          <w:trHeight w:val="930"/>
        </w:trPr>
        <w:tc>
          <w:tcPr>
            <w:tcW w:w="195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75B3FA8" w14:textId="77777777" w:rsidR="005B5485" w:rsidRDefault="005B5485">
            <w:r>
              <w:rPr>
                <w:rFonts w:cs="Calibri"/>
              </w:rPr>
              <w:t>Kompetencje społeczne</w:t>
            </w: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2A5EDFE" w14:textId="77777777" w:rsidR="005B5485" w:rsidRDefault="005B5485">
            <w:r>
              <w:rPr>
                <w:rFonts w:cs="Calibri"/>
              </w:rPr>
              <w:t>Efekt kształcenia dla kursu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2A7FA91" w14:textId="77777777" w:rsidR="005B5485" w:rsidRDefault="005B5485">
            <w:pPr>
              <w:jc w:val="center"/>
            </w:pPr>
            <w:r>
              <w:rPr>
                <w:rFonts w:cs="Calibri"/>
              </w:rPr>
              <w:t>Odniesienie do efektów kierunkowych</w:t>
            </w:r>
          </w:p>
        </w:tc>
      </w:tr>
      <w:tr w:rsidR="005B5485" w14:paraId="4B965478" w14:textId="77777777">
        <w:trPr>
          <w:cantSplit/>
          <w:trHeight w:val="399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E53401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ACF3C0D" w14:textId="77777777" w:rsidR="005B5485" w:rsidRDefault="005B5485">
            <w:r>
              <w:rPr>
                <w:rFonts w:cs="Calibri"/>
              </w:rPr>
              <w:t xml:space="preserve">K01, </w:t>
            </w:r>
            <w:r>
              <w:t xml:space="preserve">Student ma świadomość znaczenia wiedzy o procesach komunikacji dla podejmowania wyzwań zawodowych. </w:t>
            </w:r>
          </w:p>
          <w:p w14:paraId="0B3F9C50" w14:textId="77777777" w:rsidR="005B5485" w:rsidRDefault="005B5485">
            <w:pPr>
              <w:jc w:val="both"/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25C5785" w14:textId="2FF0F8FA" w:rsidR="005B5485" w:rsidRDefault="005B5485">
            <w:pPr>
              <w:widowControl/>
              <w:suppressAutoHyphens w:val="0"/>
              <w:snapToGrid w:val="0"/>
              <w:jc w:val="both"/>
            </w:pPr>
            <w:r>
              <w:rPr>
                <w:rFonts w:eastAsia="Calibri" w:cs="Calibri"/>
                <w:b/>
                <w:lang w:eastAsia="en-US"/>
              </w:rPr>
              <w:t>K_K01</w:t>
            </w:r>
          </w:p>
        </w:tc>
      </w:tr>
      <w:tr w:rsidR="005B5485" w14:paraId="7DDB7607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133608D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B0BDCB7" w14:textId="77777777" w:rsidR="005B5485" w:rsidRDefault="005B5485">
            <w:r>
              <w:rPr>
                <w:rFonts w:cs="Calibri"/>
              </w:rPr>
              <w:t xml:space="preserve">K02, </w:t>
            </w:r>
            <w:r>
              <w:t>Student potrafi pracować w zespole pełniąc różne role, wypowiadając się w odpowiednim stylu rozmowy; umie przyjmować i wyznaczać zadania z zachowaniem reguł analizy transgresyjnej</w:t>
            </w:r>
            <w:r>
              <w:rPr>
                <w:rFonts w:cs="Calibri"/>
              </w:rPr>
              <w:t>.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11F03A3" w14:textId="4A8C4CB6" w:rsidR="005B5485" w:rsidRDefault="005B5485">
            <w:pPr>
              <w:suppressAutoHyphens w:val="0"/>
              <w:snapToGrid w:val="0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K_K04</w:t>
            </w:r>
          </w:p>
        </w:tc>
      </w:tr>
      <w:tr w:rsidR="005B5485" w14:paraId="619DC3FC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74BE75F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5F81907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9E5027F" w14:textId="77777777" w:rsidR="005B5485" w:rsidRDefault="005B5485">
            <w:pPr>
              <w:snapToGrid w:val="0"/>
              <w:jc w:val="center"/>
              <w:rPr>
                <w:rFonts w:cs="Calibri"/>
              </w:rPr>
            </w:pPr>
          </w:p>
        </w:tc>
      </w:tr>
    </w:tbl>
    <w:p w14:paraId="7C749281" w14:textId="77777777" w:rsidR="005B5485" w:rsidRDefault="005B5485">
      <w:pPr>
        <w:rPr>
          <w:rFonts w:cs="Calibri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7"/>
        <w:gridCol w:w="1088"/>
        <w:gridCol w:w="1125"/>
        <w:gridCol w:w="1132"/>
        <w:gridCol w:w="1127"/>
        <w:gridCol w:w="1131"/>
        <w:gridCol w:w="1128"/>
        <w:gridCol w:w="1168"/>
      </w:tblGrid>
      <w:tr w:rsidR="005B5485" w14:paraId="76A04DA6" w14:textId="77777777">
        <w:trPr>
          <w:cantSplit/>
          <w:trHeight w:hRule="exact" w:val="424"/>
        </w:trPr>
        <w:tc>
          <w:tcPr>
            <w:tcW w:w="9752" w:type="dxa"/>
            <w:gridSpan w:val="8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F2557A6" w14:textId="77777777" w:rsidR="005B5485" w:rsidRDefault="005B5485">
            <w:pPr>
              <w:pStyle w:val="Zawartotabeli"/>
            </w:pPr>
            <w:r>
              <w:rPr>
                <w:rFonts w:cs="Calibri"/>
              </w:rPr>
              <w:t>Organizacja</w:t>
            </w:r>
          </w:p>
        </w:tc>
      </w:tr>
      <w:tr w:rsidR="005B5485" w14:paraId="705747A8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/>
        </w:trPr>
        <w:tc>
          <w:tcPr>
            <w:tcW w:w="1847" w:type="dxa"/>
            <w:vMerge w:val="restart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ECFCB0B" w14:textId="77777777" w:rsidR="005B5485" w:rsidRDefault="005B5485">
            <w:pPr>
              <w:pStyle w:val="Zawartotabeli"/>
            </w:pPr>
            <w:r>
              <w:rPr>
                <w:rFonts w:cs="Calibri"/>
              </w:rPr>
              <w:t>Forma zajęć</w:t>
            </w:r>
          </w:p>
        </w:tc>
        <w:tc>
          <w:tcPr>
            <w:tcW w:w="108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B4C6E7"/>
            </w:tcBorders>
            <w:vAlign w:val="center"/>
          </w:tcPr>
          <w:p w14:paraId="04AD5B03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Wykład</w:t>
            </w:r>
            <w:r>
              <w:rPr>
                <w:rFonts w:cs="Calibri"/>
              </w:rPr>
              <w:br/>
              <w:t>(W)</w:t>
            </w:r>
          </w:p>
        </w:tc>
        <w:tc>
          <w:tcPr>
            <w:tcW w:w="6817" w:type="dxa"/>
            <w:gridSpan w:val="6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vAlign w:val="center"/>
          </w:tcPr>
          <w:p w14:paraId="098938DE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Ćwiczenia w grupach</w:t>
            </w:r>
          </w:p>
        </w:tc>
      </w:tr>
      <w:tr w:rsidR="005B5485" w14:paraId="00BDDF82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/>
        </w:trPr>
        <w:tc>
          <w:tcPr>
            <w:tcW w:w="1847" w:type="dxa"/>
            <w:vMerge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F64DBE9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108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B4C6E7"/>
            </w:tcBorders>
            <w:vAlign w:val="center"/>
          </w:tcPr>
          <w:p w14:paraId="3B55586E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1126" w:type="dxa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E452F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A</w:t>
            </w: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E20F205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K</w:t>
            </w:r>
          </w:p>
        </w:tc>
        <w:tc>
          <w:tcPr>
            <w:tcW w:w="1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0F16A68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L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88BE149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11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94E8EA0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P</w:t>
            </w:r>
          </w:p>
        </w:tc>
        <w:tc>
          <w:tcPr>
            <w:tcW w:w="116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5C2798D" w14:textId="77777777" w:rsidR="005B5485" w:rsidRDefault="005B5485">
            <w:pPr>
              <w:pStyle w:val="Zawartotabeli"/>
              <w:jc w:val="center"/>
            </w:pPr>
            <w:r>
              <w:rPr>
                <w:rFonts w:cs="Calibri"/>
              </w:rPr>
              <w:t>E</w:t>
            </w:r>
          </w:p>
        </w:tc>
      </w:tr>
      <w:tr w:rsidR="005B5485" w14:paraId="2EFF0ED6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/>
        </w:trPr>
        <w:tc>
          <w:tcPr>
            <w:tcW w:w="1847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F342412" w14:textId="77777777" w:rsidR="005B5485" w:rsidRDefault="005B5485">
            <w:pPr>
              <w:pStyle w:val="Zawartotabeli"/>
            </w:pPr>
            <w:r>
              <w:rPr>
                <w:rFonts w:cs="Calibri"/>
              </w:rPr>
              <w:t>Liczba godzin</w:t>
            </w:r>
          </w:p>
        </w:tc>
        <w:tc>
          <w:tcPr>
            <w:tcW w:w="1088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E586F99" w14:textId="77777777" w:rsidR="005B5485" w:rsidRDefault="005B5485">
            <w:pPr>
              <w:pStyle w:val="Zawartotabeli"/>
              <w:snapToGrid w:val="0"/>
              <w:jc w:val="center"/>
            </w:pPr>
            <w:r>
              <w:rPr>
                <w:rFonts w:cs="Calibri"/>
              </w:rPr>
              <w:t>10</w:t>
            </w:r>
          </w:p>
        </w:tc>
        <w:tc>
          <w:tcPr>
            <w:tcW w:w="112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E3A9B" w14:textId="77777777" w:rsidR="005B5485" w:rsidRDefault="005B5485">
            <w:pPr>
              <w:pStyle w:val="Zawartotabeli"/>
              <w:snapToGrid w:val="0"/>
              <w:jc w:val="center"/>
            </w:pPr>
            <w:r>
              <w:rPr>
                <w:rFonts w:cs="Calibri"/>
              </w:rPr>
              <w:t>15</w:t>
            </w: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B0B65" w14:textId="77777777" w:rsidR="005B5485" w:rsidRDefault="005B5485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3511FA5" w14:textId="77777777" w:rsidR="005B5485" w:rsidRDefault="005B5485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A37FABF" w14:textId="77777777" w:rsidR="005B5485" w:rsidRDefault="005B5485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09B4A41" w14:textId="77777777" w:rsidR="005B5485" w:rsidRDefault="005B5485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6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07C636D" w14:textId="77777777" w:rsidR="005B5485" w:rsidRDefault="005B5485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</w:tr>
    </w:tbl>
    <w:p w14:paraId="09E8F11A" w14:textId="77777777" w:rsidR="005B5485" w:rsidRDefault="005B5485">
      <w:pPr>
        <w:rPr>
          <w:rFonts w:cs="Calibri"/>
        </w:rPr>
      </w:pPr>
    </w:p>
    <w:p w14:paraId="48761F41" w14:textId="77777777" w:rsidR="005B5485" w:rsidRDefault="005B5485">
      <w:pPr>
        <w:pStyle w:val="Nagwek2"/>
      </w:pPr>
      <w:r>
        <w:rPr>
          <w:rFonts w:ascii="Calibri" w:hAnsi="Calibri" w:cs="Calibri"/>
          <w:sz w:val="22"/>
          <w:szCs w:val="22"/>
        </w:rPr>
        <w:t>Opis metod prowadzenia zajęć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5B5485" w14:paraId="0530BEE8" w14:textId="77777777">
        <w:trPr>
          <w:trHeight w:val="1920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699CBEA" w14:textId="77777777" w:rsidR="005B5485" w:rsidRDefault="005B5485">
            <w:pPr>
              <w:pStyle w:val="Zawartotabeli"/>
              <w:snapToGrid w:val="0"/>
              <w:ind w:left="360"/>
              <w:jc w:val="both"/>
            </w:pPr>
            <w:r>
              <w:rPr>
                <w:rFonts w:cs="Calibri"/>
              </w:rPr>
              <w:t>Metoda słowna na wykładzie, na ćwiczeniach praca w grupach, dyskusja oraz prezentacje szczegółowe</w:t>
            </w:r>
          </w:p>
        </w:tc>
      </w:tr>
    </w:tbl>
    <w:p w14:paraId="3A18772A" w14:textId="77777777" w:rsidR="005B5485" w:rsidRDefault="005B5485">
      <w:pPr>
        <w:pStyle w:val="Zawartotabeli"/>
        <w:rPr>
          <w:rFonts w:cs="Calibri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66"/>
      </w:tblGrid>
      <w:tr w:rsidR="005B5485" w14:paraId="0ABBD3E4" w14:textId="77777777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7A05887" w14:textId="77777777" w:rsidR="005B5485" w:rsidRDefault="005B5485">
            <w:pPr>
              <w:snapToGrid w:val="0"/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D711DD1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 xml:space="preserve">E – </w:t>
            </w:r>
            <w:r>
              <w:rPr>
                <w:rFonts w:cs="Calibri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791AE8C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AE1FF9B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B17D9D6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D0CE2BF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263AAE7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4A040E0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2E5ACDD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0256BCE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6A5AFA8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D507022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EAB9B8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Egzamin pisemny</w:t>
            </w: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4E39AF0" w14:textId="77777777" w:rsidR="005B5485" w:rsidRDefault="005B5485">
            <w:pPr>
              <w:ind w:left="113" w:right="113"/>
              <w:jc w:val="center"/>
            </w:pPr>
            <w:r>
              <w:rPr>
                <w:rFonts w:cs="Calibri"/>
              </w:rPr>
              <w:t>Inne</w:t>
            </w:r>
          </w:p>
        </w:tc>
      </w:tr>
      <w:tr w:rsidR="005B5485" w14:paraId="74E987DC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BC781D" w14:textId="77777777" w:rsidR="005B5485" w:rsidRDefault="005B5485">
            <w:pPr>
              <w:pStyle w:val="Tekstdymka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58E9C4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0D005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D3A283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0E544F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C51093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19A1E1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6423B5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BAB0F7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23E83F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917DAD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8EFF94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EFD7A3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2306041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  <w:tr w:rsidR="005B5485" w14:paraId="64D60FBC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0DF27E" w14:textId="77777777" w:rsidR="005B5485" w:rsidRDefault="005B5485">
            <w:pPr>
              <w:jc w:val="center"/>
            </w:pPr>
            <w:r>
              <w:rPr>
                <w:rFonts w:cs="Calibri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1C9115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F6AD25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5D281B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D8481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532BC6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C2F6FD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8A1A41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1E215A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F26F8E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AE9012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D9FB8D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941130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864246B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  <w:tr w:rsidR="005B5485" w14:paraId="3E260435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3268A99" w14:textId="77777777" w:rsidR="005B5485" w:rsidRDefault="005B5485">
            <w:pPr>
              <w:jc w:val="center"/>
            </w:pPr>
            <w:r>
              <w:rPr>
                <w:rFonts w:cs="Calibri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9FC740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ABE0E2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DF079B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33A66B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8419EE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E3AF1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C16B02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332185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998D1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C741F1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398690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EC39D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7749287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  <w:tr w:rsidR="005B5485" w14:paraId="34F16313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37C43D0" w14:textId="77777777" w:rsidR="005B5485" w:rsidRDefault="005B5485">
            <w:pPr>
              <w:jc w:val="center"/>
            </w:pPr>
            <w:r>
              <w:rPr>
                <w:rFonts w:cs="Calibri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42653E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32DDD4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74F3D7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BB798B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32757B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D1BB0F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022450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37E044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A343F3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72CAC5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D9CD65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A96FC4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4315E09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  <w:tr w:rsidR="005B5485" w14:paraId="46FB5A12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B72A7A5" w14:textId="77777777" w:rsidR="005B5485" w:rsidRDefault="005B5485">
            <w:pPr>
              <w:jc w:val="center"/>
            </w:pPr>
            <w:r>
              <w:rPr>
                <w:rFonts w:cs="Calibri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963350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3B841D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4836A2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64C67B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1F5085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60F77A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02D238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479272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CA1307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48D7C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8B884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F8A79E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4435AB3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  <w:tr w:rsidR="005B5485" w14:paraId="52C682A7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BB4499" w14:textId="77777777" w:rsidR="005B5485" w:rsidRDefault="005B5485">
            <w:pPr>
              <w:jc w:val="center"/>
            </w:pPr>
            <w:r>
              <w:rPr>
                <w:rFonts w:cs="Calibri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43762D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1978F5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423C53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111683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99A20A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EA3C9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242AD9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8CC28A" w14:textId="77777777" w:rsidR="005B5485" w:rsidRDefault="005B5485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0FFDC6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87865E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3AC481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914230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FA4DD31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  <w:tr w:rsidR="005B5485" w14:paraId="389E03DD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48F0FF2" w14:textId="77777777" w:rsidR="005B5485" w:rsidRDefault="005B5485">
            <w:pPr>
              <w:jc w:val="center"/>
            </w:pPr>
            <w:r>
              <w:rPr>
                <w:rFonts w:cs="Calibri"/>
              </w:rPr>
              <w:t>...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637123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F8045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CC238C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7CA1CE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581DB2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7828E8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C60DD9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0DEED6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9059A4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CBB082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3F5375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715604" w14:textId="77777777" w:rsidR="005B5485" w:rsidRDefault="005B5485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3FDBF3C" w14:textId="77777777" w:rsidR="005B5485" w:rsidRDefault="005B5485">
            <w:pPr>
              <w:snapToGrid w:val="0"/>
              <w:rPr>
                <w:rFonts w:cs="Calibri"/>
              </w:rPr>
            </w:pPr>
          </w:p>
        </w:tc>
      </w:tr>
    </w:tbl>
    <w:p w14:paraId="21070F6D" w14:textId="77777777" w:rsidR="005B5485" w:rsidRDefault="005B5485">
      <w:pPr>
        <w:pStyle w:val="Zawartotabeli"/>
        <w:rPr>
          <w:rFonts w:cs="Calibri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7776"/>
      </w:tblGrid>
      <w:tr w:rsidR="005B5485" w14:paraId="03B2C80A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6E78FC8" w14:textId="77777777" w:rsidR="005B5485" w:rsidRDefault="005B5485">
            <w:pPr>
              <w:pStyle w:val="Zawartotabeli"/>
            </w:pPr>
            <w:r>
              <w:rPr>
                <w:rFonts w:cs="Calibri"/>
              </w:rPr>
              <w:t>Kryteria oceny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C83B490" w14:textId="77777777" w:rsidR="005B5485" w:rsidRDefault="005B5485">
            <w:pPr>
              <w:pStyle w:val="Zawartotabeli"/>
              <w:snapToGrid w:val="0"/>
              <w:spacing w:before="57" w:after="57"/>
              <w:jc w:val="both"/>
            </w:pPr>
            <w:r>
              <w:rPr>
                <w:rFonts w:cs="Calibri"/>
                <w:bdr w:val="none" w:sz="0" w:space="0" w:color="000000"/>
              </w:rPr>
              <w:t>Obecność na wykładach i ćwiczeniach. Aktywny udział w zajęciach. Przygotowanie i prezentacja projektu indywidualnego/grupowego.</w:t>
            </w:r>
            <w:r>
              <w:rPr>
                <w:rFonts w:cs="Calibri"/>
              </w:rPr>
              <w:t xml:space="preserve"> </w:t>
            </w:r>
          </w:p>
        </w:tc>
      </w:tr>
    </w:tbl>
    <w:p w14:paraId="7CB0E54C" w14:textId="77777777" w:rsidR="005B5485" w:rsidRDefault="005B5485">
      <w:pPr>
        <w:rPr>
          <w:rFonts w:cs="Calibri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7776"/>
      </w:tblGrid>
      <w:tr w:rsidR="005B5485" w14:paraId="1973BE78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9598142" w14:textId="77777777" w:rsidR="005B5485" w:rsidRDefault="005B5485">
            <w:r>
              <w:rPr>
                <w:rFonts w:cs="Calibri"/>
              </w:rPr>
              <w:t>Uwagi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9C08323" w14:textId="77777777" w:rsidR="005B5485" w:rsidRDefault="005B5485">
            <w:pPr>
              <w:pStyle w:val="Zawartotabeli"/>
              <w:snapToGrid w:val="0"/>
              <w:rPr>
                <w:rFonts w:cs="Calibri"/>
              </w:rPr>
            </w:pPr>
          </w:p>
        </w:tc>
      </w:tr>
    </w:tbl>
    <w:p w14:paraId="085EB287" w14:textId="77777777" w:rsidR="005B5485" w:rsidRDefault="005B5485">
      <w:pPr>
        <w:pStyle w:val="Nagwek2"/>
      </w:pPr>
      <w:r>
        <w:rPr>
          <w:rFonts w:ascii="Calibri" w:hAnsi="Calibri" w:cs="Calibri"/>
          <w:sz w:val="22"/>
          <w:szCs w:val="22"/>
        </w:rPr>
        <w:t>Treści merytoryczne (wykaz tematów)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5B5485" w14:paraId="3A6D46DC" w14:textId="77777777">
        <w:trPr>
          <w:trHeight w:val="1136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3F3899C" w14:textId="77777777" w:rsidR="005B5485" w:rsidRDefault="005B5485">
            <w:pPr>
              <w:pStyle w:val="Tekstdymka1"/>
              <w:ind w:left="72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Tematyka wykładów:</w:t>
            </w:r>
          </w:p>
          <w:p w14:paraId="20F2F1BA" w14:textId="77777777" w:rsidR="005B5485" w:rsidRDefault="005B5485">
            <w:pPr>
              <w:pStyle w:val="Tekstdymka1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302E0F" w14:textId="77777777" w:rsidR="005B5485" w:rsidRDefault="005B5485">
            <w:pPr>
              <w:pStyle w:val="Tekstdymka1"/>
              <w:numPr>
                <w:ilvl w:val="0"/>
                <w:numId w:val="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Podstawowe zagadnienia psychologii komunikacji społecznej: podstawowe pojęcia, funkcje i znaczenie komunikacji (2 godz.).</w:t>
            </w:r>
          </w:p>
          <w:p w14:paraId="0A63C5DA" w14:textId="77777777" w:rsidR="005B5485" w:rsidRDefault="005B5485">
            <w:pPr>
              <w:pStyle w:val="Tekstdymka1"/>
              <w:numPr>
                <w:ilvl w:val="0"/>
                <w:numId w:val="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Modele komunikacji: transfer informacji, uzgadnianie znaczenia, perswazja, tworzenie społeczności (2 godz.).</w:t>
            </w:r>
          </w:p>
          <w:p w14:paraId="30A9EBDA" w14:textId="77777777" w:rsidR="005B5485" w:rsidRDefault="005B5485">
            <w:pPr>
              <w:pStyle w:val="Tekstdymka1"/>
              <w:numPr>
                <w:ilvl w:val="0"/>
                <w:numId w:val="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Znaczenie zachowań werbalnych i niewerbalnych w psychologii komunikacji (2 godz.).</w:t>
            </w:r>
          </w:p>
          <w:p w14:paraId="01C9D1C2" w14:textId="77777777" w:rsidR="005B5485" w:rsidRDefault="005B5485">
            <w:pPr>
              <w:pStyle w:val="Tekstdymka1"/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Słuchanie i świadomość obecności innych w procesie komunikacji (2 godz.). </w:t>
            </w:r>
          </w:p>
          <w:p w14:paraId="36809E7F" w14:textId="77777777" w:rsidR="005B5485" w:rsidRDefault="005B5485">
            <w:pPr>
              <w:pStyle w:val="Tekstdymka1"/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Wyzwania i zagrożenia w sytuacjach komunikacyjnych (2 godz.). </w:t>
            </w:r>
          </w:p>
          <w:p w14:paraId="7F4D4F9E" w14:textId="77777777" w:rsidR="005B5485" w:rsidRDefault="005B5485">
            <w:pPr>
              <w:pStyle w:val="Tekstdymka1"/>
              <w:ind w:left="108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3F45D4E" w14:textId="77777777" w:rsidR="005B5485" w:rsidRDefault="005B5485">
            <w:pPr>
              <w:pStyle w:val="Tekstdymka1"/>
              <w:ind w:left="108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Tematyka ćwiczeń:</w:t>
            </w:r>
          </w:p>
          <w:p w14:paraId="60AC4B61" w14:textId="77777777" w:rsidR="005B5485" w:rsidRDefault="005B5485">
            <w:pPr>
              <w:pStyle w:val="Tekstdymka1"/>
              <w:ind w:left="10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D4C478" w14:textId="77777777" w:rsidR="005B5485" w:rsidRDefault="005B5485">
            <w:pPr>
              <w:pStyle w:val="Tekstdymka1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1. Psychologiczne aspekty komunikacji perswazyjnej (manipulacja, propaganda) (2 godz.).</w:t>
            </w:r>
          </w:p>
          <w:p w14:paraId="19820F94" w14:textId="77777777" w:rsidR="005B5485" w:rsidRDefault="005B5485">
            <w:pPr>
              <w:pStyle w:val="Tekstdymka1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2. Anatomia wypowiedzi – płaszczyzny wypowiedzi (zawartość rzeczowa, ujawnienie siebie) (2 godz.).</w:t>
            </w:r>
          </w:p>
          <w:p w14:paraId="2D9C6E65" w14:textId="77777777" w:rsidR="005B5485" w:rsidRDefault="005B5485">
            <w:pPr>
              <w:pStyle w:val="Tekstdymka1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3. Efektywne słuchanie (1 godz.).</w:t>
            </w:r>
          </w:p>
          <w:p w14:paraId="6543D30F" w14:textId="77777777" w:rsidR="005B5485" w:rsidRDefault="005B5485">
            <w:pPr>
              <w:pStyle w:val="Tekstdymka1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4. Rozmowa jako środek komunikacji społecznej (style rozmowy: bierno-zależny, ratownika, altruistyczny, poniżająco-agresywny, uzasadniający siebie, kontrolująco-określający, dystansujący się, dramatyzująco-wylewny) (2 godz.).</w:t>
            </w:r>
          </w:p>
          <w:p w14:paraId="7604D364" w14:textId="77777777" w:rsidR="005B5485" w:rsidRDefault="005B5485">
            <w:pPr>
              <w:pStyle w:val="Tekstdymka1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5. Model PBP (Porozumiewania Bez Przemocy), komunikat „JA” - przyczyny błędów odbioru, poprawianie relacji interpersonalnych (2 godz.).</w:t>
            </w:r>
          </w:p>
          <w:p w14:paraId="322EA794" w14:textId="77777777" w:rsidR="005B5485" w:rsidRDefault="005B5485">
            <w:pPr>
              <w:pStyle w:val="Tekstdymka1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6. Podstawowe bariery komunikacyjne i ich przezwyciężanie (2 godz.).</w:t>
            </w:r>
          </w:p>
          <w:p w14:paraId="42DFA32B" w14:textId="77777777" w:rsidR="005B5485" w:rsidRDefault="005B5485">
            <w:pPr>
              <w:pStyle w:val="Tekstdymka1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7. Wybrane techniki zachowań asertywnych (2 godz.).</w:t>
            </w:r>
          </w:p>
          <w:p w14:paraId="188390A0" w14:textId="77777777" w:rsidR="005B5485" w:rsidRDefault="005B5485">
            <w:pPr>
              <w:pStyle w:val="Tekstdymka1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8. Psychologiczne uwarunkowania negocjacji (2 godz.).</w:t>
            </w:r>
          </w:p>
          <w:p w14:paraId="0A50021A" w14:textId="77777777" w:rsidR="005B5485" w:rsidRDefault="005B5485">
            <w:pPr>
              <w:pStyle w:val="Tekstdymka1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442E3B" w14:textId="77777777" w:rsidR="005B5485" w:rsidRDefault="005B5485">
      <w:pPr>
        <w:pStyle w:val="Nagwek2"/>
      </w:pPr>
      <w:r>
        <w:rPr>
          <w:rFonts w:ascii="Calibri" w:hAnsi="Calibri" w:cs="Calibri"/>
          <w:sz w:val="22"/>
          <w:szCs w:val="22"/>
        </w:rPr>
        <w:t>Wykaz literatury podstawowej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5B5485" w14:paraId="5EA73950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BAE4BC7" w14:textId="77777777" w:rsidR="005B5485" w:rsidRDefault="00DE4D63" w:rsidP="00DE4D63">
            <w:pPr>
              <w:snapToGrid w:val="0"/>
              <w:jc w:val="both"/>
            </w:pPr>
            <w:r>
              <w:rPr>
                <w:rFonts w:cs="Calibri"/>
                <w:color w:val="000000"/>
              </w:rPr>
              <w:t xml:space="preserve">           </w:t>
            </w:r>
            <w:r w:rsidR="005B5485">
              <w:rPr>
                <w:rFonts w:cs="Calibri"/>
                <w:color w:val="000000"/>
              </w:rPr>
              <w:t xml:space="preserve">Davis, M., </w:t>
            </w:r>
            <w:proofErr w:type="spellStart"/>
            <w:r w:rsidR="005B5485">
              <w:rPr>
                <w:rFonts w:cs="Calibri"/>
                <w:color w:val="000000"/>
              </w:rPr>
              <w:t>Fanning</w:t>
            </w:r>
            <w:proofErr w:type="spellEnd"/>
            <w:r w:rsidR="005B5485">
              <w:rPr>
                <w:rFonts w:cs="Calibri"/>
                <w:color w:val="000000"/>
              </w:rPr>
              <w:t xml:space="preserve">, P., </w:t>
            </w:r>
            <w:proofErr w:type="spellStart"/>
            <w:r w:rsidR="005B5485">
              <w:rPr>
                <w:rFonts w:cs="Calibri"/>
                <w:color w:val="000000"/>
              </w:rPr>
              <w:t>McKay</w:t>
            </w:r>
            <w:proofErr w:type="spellEnd"/>
            <w:r w:rsidR="005B5485">
              <w:rPr>
                <w:rFonts w:cs="Calibri"/>
                <w:color w:val="000000"/>
              </w:rPr>
              <w:t xml:space="preserve">, M., </w:t>
            </w:r>
            <w:r w:rsidR="005B5485">
              <w:rPr>
                <w:rFonts w:cs="Calibri"/>
                <w:i/>
                <w:iCs/>
                <w:color w:val="000000"/>
              </w:rPr>
              <w:t>Sztuka skutecznego porozumiewania się</w:t>
            </w:r>
            <w:r w:rsidR="005B5485">
              <w:rPr>
                <w:rFonts w:cs="Calibri"/>
                <w:color w:val="000000"/>
              </w:rPr>
              <w:t>. Gdańsk</w:t>
            </w:r>
            <w:r w:rsidR="0056036F">
              <w:rPr>
                <w:rFonts w:cs="Calibri"/>
                <w:color w:val="000000"/>
              </w:rPr>
              <w:t>,</w:t>
            </w:r>
            <w:r w:rsidR="005B5485">
              <w:rPr>
                <w:rFonts w:cs="Calibri"/>
                <w:color w:val="000000"/>
              </w:rPr>
              <w:t xml:space="preserve"> 2022.</w:t>
            </w:r>
          </w:p>
          <w:p w14:paraId="389DC991" w14:textId="77777777" w:rsidR="005B5485" w:rsidRDefault="005B5485">
            <w:pPr>
              <w:ind w:left="720"/>
            </w:pPr>
            <w:proofErr w:type="spellStart"/>
            <w:r>
              <w:rPr>
                <w:rFonts w:cs="Calibri"/>
              </w:rPr>
              <w:t>Eriffin</w:t>
            </w:r>
            <w:proofErr w:type="spellEnd"/>
            <w:r>
              <w:rPr>
                <w:rFonts w:cs="Calibri"/>
              </w:rPr>
              <w:t xml:space="preserve">, E., </w:t>
            </w:r>
            <w:r>
              <w:rPr>
                <w:rFonts w:cs="Calibri"/>
                <w:i/>
                <w:iCs/>
              </w:rPr>
              <w:t>Podstawy komunikacji społecznej</w:t>
            </w:r>
            <w:r>
              <w:rPr>
                <w:rFonts w:cs="Calibri"/>
              </w:rPr>
              <w:t>. Gdańsk, 2013.</w:t>
            </w:r>
          </w:p>
          <w:p w14:paraId="184A82F7" w14:textId="77777777" w:rsidR="005B5485" w:rsidRDefault="00F33302" w:rsidP="00F33302">
            <w:pPr>
              <w:snapToGrid w:val="0"/>
              <w:jc w:val="both"/>
            </w:pPr>
            <w:r>
              <w:rPr>
                <w:rFonts w:cs="Calibri"/>
                <w:color w:val="000000"/>
              </w:rPr>
              <w:t xml:space="preserve">             </w:t>
            </w:r>
            <w:proofErr w:type="spellStart"/>
            <w:r w:rsidR="005B5485">
              <w:rPr>
                <w:rFonts w:cs="Calibri"/>
                <w:color w:val="000000"/>
              </w:rPr>
              <w:t>Leathers</w:t>
            </w:r>
            <w:proofErr w:type="spellEnd"/>
            <w:r w:rsidR="005B5485">
              <w:rPr>
                <w:rFonts w:cs="Calibri"/>
                <w:color w:val="000000"/>
              </w:rPr>
              <w:t xml:space="preserve">, </w:t>
            </w:r>
            <w:r w:rsidR="005B5485">
              <w:rPr>
                <w:rFonts w:cs="Calibri"/>
                <w:i/>
                <w:iCs/>
                <w:color w:val="000000"/>
              </w:rPr>
              <w:t>D., Komunikacja niewerbalna</w:t>
            </w:r>
            <w:r w:rsidR="005B5485">
              <w:rPr>
                <w:rFonts w:cs="Calibri"/>
                <w:color w:val="000000"/>
              </w:rPr>
              <w:t xml:space="preserve">. Warszawa, 2017. </w:t>
            </w:r>
          </w:p>
          <w:p w14:paraId="7D8EF58C" w14:textId="77777777" w:rsidR="005B5485" w:rsidRDefault="005B5485">
            <w:pPr>
              <w:snapToGrid w:val="0"/>
              <w:ind w:left="720"/>
              <w:jc w:val="both"/>
            </w:pPr>
            <w:proofErr w:type="spellStart"/>
            <w:r>
              <w:rPr>
                <w:rFonts w:cs="Calibri"/>
                <w:color w:val="000000"/>
              </w:rPr>
              <w:t>Morreale</w:t>
            </w:r>
            <w:proofErr w:type="spellEnd"/>
            <w:r>
              <w:rPr>
                <w:rFonts w:cs="Calibri"/>
                <w:color w:val="000000"/>
              </w:rPr>
              <w:t xml:space="preserve">, S., </w:t>
            </w:r>
            <w:proofErr w:type="spellStart"/>
            <w:r>
              <w:rPr>
                <w:rFonts w:cs="Calibri"/>
                <w:color w:val="000000"/>
              </w:rPr>
              <w:t>Spitzberg</w:t>
            </w:r>
            <w:proofErr w:type="spellEnd"/>
            <w:r>
              <w:rPr>
                <w:rFonts w:cs="Calibri"/>
                <w:color w:val="000000"/>
              </w:rPr>
              <w:t xml:space="preserve">, B., </w:t>
            </w:r>
            <w:r>
              <w:rPr>
                <w:rFonts w:cs="Calibri"/>
                <w:i/>
                <w:iCs/>
                <w:color w:val="000000"/>
              </w:rPr>
              <w:t xml:space="preserve">Komunikacja </w:t>
            </w:r>
            <w:proofErr w:type="gramStart"/>
            <w:r>
              <w:rPr>
                <w:rFonts w:cs="Calibri"/>
                <w:i/>
                <w:iCs/>
                <w:color w:val="000000"/>
              </w:rPr>
              <w:t>miedzy</w:t>
            </w:r>
            <w:proofErr w:type="gramEnd"/>
            <w:r>
              <w:rPr>
                <w:rFonts w:cs="Calibri"/>
                <w:i/>
                <w:iCs/>
                <w:color w:val="000000"/>
              </w:rPr>
              <w:t xml:space="preserve"> ludźmi</w:t>
            </w:r>
            <w:r>
              <w:rPr>
                <w:rFonts w:cs="Calibri"/>
                <w:color w:val="000000"/>
              </w:rPr>
              <w:t>. Warszaw</w:t>
            </w:r>
            <w:r w:rsidR="00DE4D63">
              <w:rPr>
                <w:rFonts w:cs="Calibri"/>
                <w:color w:val="000000"/>
              </w:rPr>
              <w:t>a</w:t>
            </w:r>
            <w:r>
              <w:rPr>
                <w:rFonts w:cs="Calibri"/>
                <w:color w:val="000000"/>
              </w:rPr>
              <w:t xml:space="preserve">, 2017. </w:t>
            </w:r>
          </w:p>
          <w:p w14:paraId="706F086C" w14:textId="77777777" w:rsidR="005B5485" w:rsidRDefault="005B5485">
            <w:pPr>
              <w:snapToGrid w:val="0"/>
              <w:ind w:left="720"/>
              <w:jc w:val="both"/>
            </w:pPr>
            <w:r>
              <w:rPr>
                <w:rFonts w:cs="Calibri"/>
                <w:color w:val="000000"/>
              </w:rPr>
              <w:t>Ogonowska A., Komunikacja i porozumienie</w:t>
            </w:r>
            <w:r w:rsidR="0056036F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Kraków</w:t>
            </w:r>
            <w:r w:rsidR="0056036F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 xml:space="preserve"> 2015.</w:t>
            </w:r>
          </w:p>
          <w:p w14:paraId="6EA30E25" w14:textId="77777777" w:rsidR="005B5485" w:rsidRDefault="005B5485">
            <w:pPr>
              <w:snapToGrid w:val="0"/>
              <w:ind w:left="720"/>
              <w:jc w:val="both"/>
            </w:pPr>
            <w:r>
              <w:rPr>
                <w:rFonts w:cs="Calibri"/>
                <w:color w:val="000000"/>
              </w:rPr>
              <w:t xml:space="preserve">Stewart, J., </w:t>
            </w:r>
            <w:r>
              <w:rPr>
                <w:rFonts w:cs="Calibri"/>
                <w:i/>
                <w:iCs/>
                <w:color w:val="000000"/>
              </w:rPr>
              <w:t>Mosty zamiast murów. Podręcznik komunikacji interpersonalnej</w:t>
            </w:r>
            <w:r w:rsidR="0056036F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Warszawa, 2018. </w:t>
            </w:r>
          </w:p>
          <w:p w14:paraId="0062857A" w14:textId="77777777" w:rsidR="005B5485" w:rsidRDefault="005B5485">
            <w:pPr>
              <w:snapToGrid w:val="0"/>
              <w:ind w:left="720"/>
              <w:jc w:val="both"/>
              <w:rPr>
                <w:rFonts w:cs="Calibri"/>
              </w:rPr>
            </w:pPr>
          </w:p>
        </w:tc>
      </w:tr>
    </w:tbl>
    <w:p w14:paraId="504EA168" w14:textId="77777777" w:rsidR="005B5485" w:rsidRDefault="005B5485">
      <w:pPr>
        <w:pStyle w:val="Nagwek2"/>
      </w:pPr>
      <w:r>
        <w:rPr>
          <w:rFonts w:ascii="Calibri" w:hAnsi="Calibri" w:cs="Calibri"/>
          <w:sz w:val="22"/>
          <w:szCs w:val="22"/>
        </w:rPr>
        <w:lastRenderedPageBreak/>
        <w:t>Wykaz literatury uzupełniającej: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5B5485" w14:paraId="5A024BD8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392F7DB" w14:textId="77777777" w:rsidR="00DE4D63" w:rsidRDefault="00DE4D63" w:rsidP="00DE4D63">
            <w:pPr>
              <w:ind w:left="720"/>
            </w:pPr>
            <w:r>
              <w:t xml:space="preserve"> </w:t>
            </w:r>
            <w:proofErr w:type="spellStart"/>
            <w:r>
              <w:rPr>
                <w:rFonts w:cs="Calibri"/>
              </w:rPr>
              <w:t>Berne</w:t>
            </w:r>
            <w:proofErr w:type="spellEnd"/>
            <w:r>
              <w:rPr>
                <w:rFonts w:cs="Calibri"/>
              </w:rPr>
              <w:t xml:space="preserve"> E., W co grają ludzie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Warszawa, 2004. </w:t>
            </w:r>
          </w:p>
          <w:p w14:paraId="683B8E08" w14:textId="77777777" w:rsidR="005B5485" w:rsidRDefault="00DE4D63" w:rsidP="00DE4D6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     </w:t>
            </w:r>
            <w:r w:rsidR="005B5485">
              <w:rPr>
                <w:rFonts w:cs="Calibri"/>
              </w:rPr>
              <w:t>Bocheńska-Włostowska K., Akademia umiejętności interpersonalnych</w:t>
            </w:r>
            <w:r w:rsidR="0056036F">
              <w:rPr>
                <w:rFonts w:cs="Calibri"/>
              </w:rPr>
              <w:t>.</w:t>
            </w:r>
            <w:r w:rsidR="005B5485">
              <w:rPr>
                <w:rFonts w:cs="Calibri"/>
              </w:rPr>
              <w:t xml:space="preserve"> Kraków, 2019. </w:t>
            </w:r>
          </w:p>
          <w:p w14:paraId="4FC4C450" w14:textId="77777777" w:rsidR="00DE4D63" w:rsidRDefault="00DE4D63" w:rsidP="00DE4D63">
            <w:pPr>
              <w:ind w:left="720"/>
              <w:rPr>
                <w:rFonts w:cs="Calibri"/>
              </w:rPr>
            </w:pPr>
            <w:r>
              <w:rPr>
                <w:rFonts w:cs="Calibri"/>
              </w:rPr>
              <w:t>Chełpa S., Witkowski T., Psychologia konfliktów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Wrocław, 2015. </w:t>
            </w:r>
          </w:p>
          <w:p w14:paraId="4AAC111F" w14:textId="77777777" w:rsidR="00DE4D63" w:rsidRDefault="00DE4D63" w:rsidP="00DE4D63">
            <w:pPr>
              <w:ind w:left="720"/>
            </w:pPr>
            <w:proofErr w:type="spellStart"/>
            <w:r>
              <w:rPr>
                <w:rFonts w:cs="Calibri"/>
              </w:rPr>
              <w:t>Cialdini</w:t>
            </w:r>
            <w:proofErr w:type="spellEnd"/>
            <w:r>
              <w:rPr>
                <w:rFonts w:cs="Calibri"/>
              </w:rPr>
              <w:t xml:space="preserve"> R., Wywieranie wpływu na ludzi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Gdańsk, 2021. </w:t>
            </w:r>
          </w:p>
          <w:p w14:paraId="4619A6DB" w14:textId="77777777" w:rsidR="005B5485" w:rsidRDefault="005B5485">
            <w:pPr>
              <w:ind w:left="720"/>
              <w:rPr>
                <w:rFonts w:cs="Calibri"/>
              </w:rPr>
            </w:pPr>
            <w:r>
              <w:rPr>
                <w:rFonts w:cs="Calibri"/>
              </w:rPr>
              <w:t>Hartley P., Komunikacja w grupie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Poznań, 2021. </w:t>
            </w:r>
          </w:p>
          <w:p w14:paraId="6122FC2B" w14:textId="77777777" w:rsidR="00BA13D5" w:rsidRDefault="00BA13D5">
            <w:pPr>
              <w:ind w:left="72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Lamri</w:t>
            </w:r>
            <w:proofErr w:type="spellEnd"/>
            <w:r>
              <w:rPr>
                <w:rFonts w:cs="Calibri"/>
              </w:rPr>
              <w:t xml:space="preserve"> J., Kompetencje XXI wieku. Kreatywność, komunikacja, krytyczne myślenie, kooperacja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="0056036F">
              <w:rPr>
                <w:rFonts w:cs="Calibri"/>
              </w:rPr>
              <w:t>Warszawa 2020.</w:t>
            </w:r>
          </w:p>
          <w:p w14:paraId="1630EAF2" w14:textId="77777777" w:rsidR="00DE4D63" w:rsidRPr="00DE4D63" w:rsidRDefault="00DE4D63" w:rsidP="00DE4D63">
            <w:pPr>
              <w:ind w:left="72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Pszczókowski</w:t>
            </w:r>
            <w:proofErr w:type="spellEnd"/>
            <w:r>
              <w:rPr>
                <w:rFonts w:cs="Calibri"/>
              </w:rPr>
              <w:t xml:space="preserve"> T., Umiejętność przekonywania i dyskusji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Warszawa, 2018.</w:t>
            </w:r>
          </w:p>
          <w:p w14:paraId="6DB1F9E9" w14:textId="77777777" w:rsidR="005B5485" w:rsidRDefault="005B5485">
            <w:pPr>
              <w:ind w:left="720"/>
            </w:pPr>
            <w:r>
              <w:rPr>
                <w:rFonts w:cs="Calibri"/>
              </w:rPr>
              <w:t>Rzepka B., Efektywna komunikacja w zespole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Warszawa, 2022. </w:t>
            </w:r>
          </w:p>
          <w:p w14:paraId="5FCD6218" w14:textId="77777777" w:rsidR="00DE4D63" w:rsidRDefault="00DE4D63">
            <w:pPr>
              <w:ind w:left="720"/>
            </w:pPr>
            <w:r>
              <w:rPr>
                <w:rFonts w:cs="Calibri"/>
              </w:rPr>
              <w:t xml:space="preserve">Schulz von </w:t>
            </w:r>
            <w:proofErr w:type="spellStart"/>
            <w:r>
              <w:rPr>
                <w:rFonts w:cs="Calibri"/>
              </w:rPr>
              <w:t>Thun</w:t>
            </w:r>
            <w:proofErr w:type="spellEnd"/>
            <w:r>
              <w:rPr>
                <w:rFonts w:cs="Calibri"/>
              </w:rPr>
              <w:t xml:space="preserve"> F., Sztuka rozmawiania, t. 1-3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Kraków, 2013.</w:t>
            </w:r>
          </w:p>
          <w:p w14:paraId="653915B2" w14:textId="77777777" w:rsidR="005B5485" w:rsidRDefault="005B5485">
            <w:pPr>
              <w:ind w:left="720"/>
            </w:pPr>
            <w:r>
              <w:rPr>
                <w:rFonts w:cs="Calibri"/>
              </w:rPr>
              <w:t xml:space="preserve">Strategie i techniki perswazji, [w:] Sztuka perswazji, red. R. </w:t>
            </w:r>
            <w:proofErr w:type="spellStart"/>
            <w:r>
              <w:rPr>
                <w:rFonts w:cs="Calibri"/>
              </w:rPr>
              <w:t>Garpiel</w:t>
            </w:r>
            <w:proofErr w:type="spellEnd"/>
            <w:r>
              <w:rPr>
                <w:rFonts w:cs="Calibri"/>
              </w:rPr>
              <w:t>, K. Leszczyńska</w:t>
            </w:r>
            <w:r w:rsidR="0056036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Kraków 2014. </w:t>
            </w:r>
          </w:p>
        </w:tc>
      </w:tr>
    </w:tbl>
    <w:p w14:paraId="252472D0" w14:textId="77777777" w:rsidR="005B5485" w:rsidRDefault="005B5485">
      <w:pPr>
        <w:pStyle w:val="Tekstdymka2"/>
      </w:pPr>
      <w:r>
        <w:rPr>
          <w:rFonts w:ascii="Calibri" w:hAnsi="Calibri" w:cs="Calibri"/>
          <w:sz w:val="22"/>
          <w:szCs w:val="22"/>
        </w:rPr>
        <w:t>Bilans godzinowy zgodny z CNPS (Całkowity Nakład Pracy Studenta)</w:t>
      </w:r>
    </w:p>
    <w:p w14:paraId="02556B22" w14:textId="77777777" w:rsidR="005B5485" w:rsidRDefault="005B5485">
      <w:pPr>
        <w:rPr>
          <w:rFonts w:cs="Calibri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66"/>
      </w:tblGrid>
      <w:tr w:rsidR="005B5485" w14:paraId="39E9370D" w14:textId="77777777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1FBBB77" w14:textId="77777777" w:rsidR="005B5485" w:rsidRDefault="005B5485">
            <w:pPr>
              <w:widowControl/>
              <w:spacing w:line="276" w:lineRule="auto"/>
              <w:jc w:val="center"/>
            </w:pPr>
            <w:r>
              <w:rPr>
                <w:rFonts w:eastAsia="Calibri" w:cs="Calibri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537BFB" w14:textId="77777777" w:rsidR="005B5485" w:rsidRDefault="005B5485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C81C10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10</w:t>
            </w:r>
          </w:p>
        </w:tc>
      </w:tr>
      <w:tr w:rsidR="005B5485" w14:paraId="1586CE01" w14:textId="77777777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2F1D220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16FEC0" w14:textId="77777777" w:rsidR="005B5485" w:rsidRDefault="005B5485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37DF85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5B5485" w14:paraId="24001A53" w14:textId="77777777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F99CA49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F24F1F" w14:textId="77777777" w:rsidR="005B5485" w:rsidRDefault="005B5485">
            <w:pPr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D25B29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5B5485" w14:paraId="18F37F2D" w14:textId="77777777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2FEA13E" w14:textId="77777777" w:rsidR="005B5485" w:rsidRDefault="005B5485">
            <w:pPr>
              <w:widowControl/>
              <w:spacing w:line="276" w:lineRule="auto"/>
              <w:jc w:val="center"/>
            </w:pPr>
            <w:r>
              <w:rPr>
                <w:rFonts w:eastAsia="Calibri" w:cs="Calibri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7C9F1D" w14:textId="77777777" w:rsidR="005B5485" w:rsidRDefault="005B5485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Lektura w ramach 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F10256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5B5485" w14:paraId="24FCD5B2" w14:textId="77777777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062A455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47398D" w14:textId="77777777" w:rsidR="005B5485" w:rsidRDefault="005B5485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77CCEA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B5485" w14:paraId="442052CC" w14:textId="77777777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29ED958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04C9FA" w14:textId="77777777" w:rsidR="005B5485" w:rsidRDefault="005B5485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C560D4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20</w:t>
            </w:r>
          </w:p>
        </w:tc>
      </w:tr>
      <w:tr w:rsidR="005B5485" w14:paraId="69574F85" w14:textId="77777777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7153547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A99E1C" w14:textId="77777777" w:rsidR="005B5485" w:rsidRDefault="005B5485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do egzaminu/zaliczenia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2396A6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5B5485" w14:paraId="103EFB97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928CC3" w14:textId="77777777" w:rsidR="005B5485" w:rsidRDefault="005B5485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Ogółem 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2F00CF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90</w:t>
            </w:r>
          </w:p>
        </w:tc>
      </w:tr>
      <w:tr w:rsidR="005B5485" w14:paraId="7B78C40C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B468308" w14:textId="77777777" w:rsidR="005B5485" w:rsidRDefault="005B5485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Liczba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1DA612" w14:textId="77777777" w:rsidR="005B5485" w:rsidRDefault="005B5485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3</w:t>
            </w:r>
          </w:p>
        </w:tc>
      </w:tr>
    </w:tbl>
    <w:p w14:paraId="6305F373" w14:textId="77777777" w:rsidR="005B5485" w:rsidRDefault="005B5485">
      <w:pPr>
        <w:pStyle w:val="Tekstdymka2"/>
      </w:pPr>
    </w:p>
    <w:sectPr w:rsidR="005B5485">
      <w:headerReference w:type="default" r:id="rId10"/>
      <w:footerReference w:type="default" r:id="rId11"/>
      <w:pgSz w:w="11906" w:h="16838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1B6D" w14:textId="77777777" w:rsidR="00A33F33" w:rsidRDefault="00A33F33">
      <w:r>
        <w:separator/>
      </w:r>
    </w:p>
  </w:endnote>
  <w:endnote w:type="continuationSeparator" w:id="0">
    <w:p w14:paraId="573EAE96" w14:textId="77777777" w:rsidR="00A33F33" w:rsidRDefault="00A3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5032" w14:textId="77777777" w:rsidR="005B5485" w:rsidRDefault="005B5485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EB12" w14:textId="77777777" w:rsidR="00A33F33" w:rsidRDefault="00A33F33">
      <w:r>
        <w:separator/>
      </w:r>
    </w:p>
  </w:footnote>
  <w:footnote w:type="continuationSeparator" w:id="0">
    <w:p w14:paraId="34873A6E" w14:textId="77777777" w:rsidR="00A33F33" w:rsidRDefault="00A3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3D7C" w14:textId="77777777" w:rsidR="005B5485" w:rsidRDefault="005B5485">
    <w:pPr>
      <w:jc w:val="center"/>
    </w:pPr>
    <w:r>
      <w:t xml:space="preserve">Kierunek: Architektura informacji </w:t>
    </w:r>
  </w:p>
  <w:p w14:paraId="50E78D8C" w14:textId="7458A496" w:rsidR="005B5485" w:rsidRDefault="005B5485">
    <w:pPr>
      <w:jc w:val="center"/>
    </w:pPr>
    <w:r>
      <w:t>Studia stacjonarne 1 stopnia, semestr 1 (kurs obligatoryjny)</w:t>
    </w:r>
    <w:r>
      <w:br/>
      <w:t>Karta kursu zgodna z programem i planem dla roku akademickiego 202</w:t>
    </w:r>
    <w:r w:rsidR="0069230D">
      <w:t>5</w:t>
    </w:r>
    <w:r>
      <w:t>/202</w:t>
    </w:r>
    <w:r w:rsidR="0069230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 w16cid:durableId="1644233659">
    <w:abstractNumId w:val="0"/>
  </w:num>
  <w:num w:numId="2" w16cid:durableId="150820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CD"/>
    <w:rsid w:val="00112E0E"/>
    <w:rsid w:val="0030000D"/>
    <w:rsid w:val="00402DCD"/>
    <w:rsid w:val="0056036F"/>
    <w:rsid w:val="005B5485"/>
    <w:rsid w:val="0069230D"/>
    <w:rsid w:val="00A33F33"/>
    <w:rsid w:val="00A823C1"/>
    <w:rsid w:val="00BA13D5"/>
    <w:rsid w:val="00D81012"/>
    <w:rsid w:val="00DE4D63"/>
    <w:rsid w:val="00EA26FA"/>
    <w:rsid w:val="00F3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E71518"/>
  <w15:chartTrackingRefBased/>
  <w15:docId w15:val="{68FA22F8-D45B-4427-B8C4-9DCDE2F8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240"/>
      <w:outlineLvl w:val="1"/>
    </w:pPr>
    <w:rPr>
      <w:rFonts w:ascii="Calibri Light" w:hAnsi="Calibri Light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Numerstrony1">
    <w:name w:val="Numer strony1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sz w:val="28"/>
      <w:szCs w:val="28"/>
    </w:rPr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ListLabel1">
    <w:name w:val="ListLabel 1"/>
    <w:rPr>
      <w:b w:val="0"/>
      <w:sz w:val="14"/>
      <w:szCs w:val="14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hps">
    <w:name w:val="hps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dymka2">
    <w:name w:val="Tekst dymka2"/>
    <w:basedOn w:val="Normalny"/>
    <w:rPr>
      <w:rFonts w:ascii="Tahoma" w:hAnsi="Tahoma" w:cs="Tahoma"/>
      <w:sz w:val="16"/>
      <w:szCs w:val="16"/>
    </w:rPr>
  </w:style>
  <w:style w:type="paragraph" w:customStyle="1" w:styleId="Tematkomentarza2">
    <w:name w:val="Temat komentarza2"/>
    <w:basedOn w:val="Tekstkomentarza1"/>
    <w:next w:val="Tekstkomentarza1"/>
    <w:rPr>
      <w:b/>
      <w:bCs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Zwykytekst1">
    <w:name w:val="Zwykły tekst1"/>
    <w:basedOn w:val="Normalny"/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0B1E1-C9B5-48F2-A0F8-18B857652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B8C86-2955-4B06-B86A-3D90BB3D4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E670C-9727-469D-B8B8-AEEB76915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szablon, karta, kursu</cp:keywords>
  <cp:lastModifiedBy>Piotr Andrusiewicz</cp:lastModifiedBy>
  <cp:revision>4</cp:revision>
  <cp:lastPrinted>1899-12-31T23:00:00Z</cp:lastPrinted>
  <dcterms:created xsi:type="dcterms:W3CDTF">2026-01-19T16:02:00Z</dcterms:created>
  <dcterms:modified xsi:type="dcterms:W3CDTF">2026-01-19T16:39:00Z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Akademia Pedagogiczna</vt:lpwstr>
  </property>
</Properties>
</file>