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5512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r w:rsidR="009133D9">
        <w:t>……..</w:t>
      </w:r>
      <w:r w:rsidR="0044050E">
        <w:t>…………..</w:t>
      </w:r>
    </w:p>
    <w:p w14:paraId="66F56A3B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6FF93957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4BF42C43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4719ABA0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3ED9FE0E" w14:textId="05451432" w:rsidR="00303F50" w:rsidRDefault="00544863" w:rsidP="00B56EF9">
            <w:pPr>
              <w:pStyle w:val="Zawartotabeli"/>
              <w:jc w:val="center"/>
            </w:pPr>
            <w:r>
              <w:rPr>
                <w:noProof/>
                <w:lang w:val="en-US"/>
              </w:rPr>
              <w:t>Inspiracje projektowe</w:t>
            </w:r>
          </w:p>
        </w:tc>
      </w:tr>
      <w:tr w:rsidR="00303F50" w14:paraId="78618DF5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7152E39F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13F35070" w14:textId="4DB54B94" w:rsidR="00303F50" w:rsidRDefault="00544863" w:rsidP="00B56EF9">
            <w:pPr>
              <w:pStyle w:val="Zawartotabeli"/>
              <w:jc w:val="center"/>
            </w:pPr>
            <w:r>
              <w:rPr>
                <w:noProof/>
                <w:lang w:val="en-US"/>
              </w:rPr>
              <w:t>Design inspirations</w:t>
            </w:r>
          </w:p>
        </w:tc>
      </w:tr>
    </w:tbl>
    <w:p w14:paraId="518FF5D3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3154760C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1AD68961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33610D07" w14:textId="49904BE5" w:rsidR="00240C16" w:rsidRDefault="002D3AAF" w:rsidP="00B56EF9">
            <w:pPr>
              <w:pStyle w:val="Zawartotabeli"/>
            </w:pPr>
            <w:r>
              <w:rPr>
                <w:noProof/>
                <w:lang w:val="en-US"/>
              </w:rPr>
              <w:t>Dr Beata Langer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D3DA7A0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53013A70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0418ACC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3D765ED2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120664D" w14:textId="2F8A7262" w:rsidR="0084472F" w:rsidRDefault="002D3AAF" w:rsidP="00B56EF9">
            <w:pPr>
              <w:pStyle w:val="Zawartotabeli"/>
            </w:pPr>
            <w:r>
              <w:rPr>
                <w:noProof/>
                <w:lang w:val="en-US"/>
              </w:rPr>
              <w:t>Katedra Kultury Informacyjnej</w:t>
            </w:r>
          </w:p>
        </w:tc>
      </w:tr>
      <w:tr w:rsidR="00240C16" w14:paraId="61175CF7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12BC9CE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7E9D773" w14:textId="59E27906" w:rsidR="00240C16" w:rsidRDefault="00F171D7" w:rsidP="005479B4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991" w:type="pct"/>
            <w:vMerge/>
            <w:vAlign w:val="center"/>
          </w:tcPr>
          <w:p w14:paraId="20FB3B1C" w14:textId="77777777" w:rsidR="00240C16" w:rsidRDefault="00240C16" w:rsidP="00B56EF9">
            <w:pPr>
              <w:pStyle w:val="Zawartotabeli"/>
            </w:pPr>
          </w:p>
        </w:tc>
      </w:tr>
    </w:tbl>
    <w:p w14:paraId="5856479F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2D3AAF" w14:paraId="70AC5959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01067B14" w14:textId="29FC375E" w:rsidR="00F227E3" w:rsidRPr="002A4872" w:rsidRDefault="005D4A1A" w:rsidP="002D3AAF">
            <w:pPr>
              <w:jc w:val="both"/>
            </w:pPr>
            <w:r w:rsidRPr="005D4A1A">
              <w:t>Zajęcia mają na celu rozwinięcie zdolności dostrzegania i interpretowania różnorodnych impulsów płynących ze świata kultury, nauki i życia codziennego, które mogą stać się punktem wyjścia do działań twórczych. Studenci uczą się świadomie korzystać z otaczających zjawisk i przekształcać je w inspiracje wspierające proces projektowania informacji. Kurs kładzie nacisk na samodzielne doskonalenie warsztatu, kreatywne podejście do znanych schematów oraz umiejętność twórczego adaptowania elementów rzeczywistości w nowych kontekstach</w:t>
            </w:r>
          </w:p>
        </w:tc>
      </w:tr>
    </w:tbl>
    <w:p w14:paraId="1EEC962F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4F2106CD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54A48D6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059BA090" w14:textId="59B046C5" w:rsidR="002D3AAF" w:rsidRPr="00441767" w:rsidRDefault="002D3AAF" w:rsidP="002D3AAF">
            <w:pPr>
              <w:autoSpaceDE/>
              <w:jc w:val="both"/>
              <w:rPr>
                <w:rFonts w:cs="Calibri"/>
                <w:szCs w:val="16"/>
              </w:rPr>
            </w:pPr>
            <w:r w:rsidRPr="00441767">
              <w:rPr>
                <w:rFonts w:cs="Calibri"/>
                <w:szCs w:val="16"/>
              </w:rPr>
              <w:t xml:space="preserve">Znajomość realizacji podstawowych zagadnień teoretycznych i praktycznych  wynikająca z odbycia wcześniejszych kursów z zakresu </w:t>
            </w:r>
            <w:r w:rsidR="00C30C05">
              <w:rPr>
                <w:rFonts w:cs="Calibri"/>
                <w:i/>
                <w:szCs w:val="16"/>
              </w:rPr>
              <w:t>Zarządzania informacją i publikowania cyfrowego</w:t>
            </w:r>
          </w:p>
          <w:p w14:paraId="3E6B5C79" w14:textId="77777777" w:rsidR="002D3AAF" w:rsidRDefault="002D3AAF" w:rsidP="002D3AAF">
            <w:pPr>
              <w:autoSpaceDE/>
              <w:jc w:val="both"/>
              <w:rPr>
                <w:rFonts w:ascii="Arial" w:hAnsi="Arial"/>
                <w:szCs w:val="16"/>
              </w:rPr>
            </w:pPr>
          </w:p>
          <w:p w14:paraId="3DD929AF" w14:textId="47077EE3" w:rsidR="00303F50" w:rsidRDefault="00303F50" w:rsidP="00B56EF9"/>
        </w:tc>
      </w:tr>
      <w:tr w:rsidR="002D3AAF" w14:paraId="547F0C9A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10EB359" w14:textId="77777777" w:rsidR="002D3AAF" w:rsidRDefault="002D3AAF" w:rsidP="002D3AAF">
            <w:r>
              <w:t>Umiejętności</w:t>
            </w:r>
          </w:p>
        </w:tc>
        <w:tc>
          <w:tcPr>
            <w:tcW w:w="3984" w:type="pct"/>
            <w:vAlign w:val="center"/>
          </w:tcPr>
          <w:p w14:paraId="6C03451B" w14:textId="74D9DAC8" w:rsidR="002D3AAF" w:rsidRPr="002A4872" w:rsidRDefault="00014B03" w:rsidP="002D3AAF">
            <w:r w:rsidRPr="00014B03">
              <w:t>Umiejętność analizy i rozumienia informacji, tworzenia przejrzystych narracji oraz pracy zespołowej, wzbogacona o zdolność łączenia pozornie odległych schematów i poszukiwania ich punktów stycznych</w:t>
            </w:r>
          </w:p>
        </w:tc>
      </w:tr>
      <w:tr w:rsidR="002D3AAF" w14:paraId="06838842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9134A16" w14:textId="77777777" w:rsidR="002D3AAF" w:rsidRDefault="002D3AAF" w:rsidP="002D3AAF">
            <w:r>
              <w:t>Kursy</w:t>
            </w:r>
          </w:p>
        </w:tc>
        <w:tc>
          <w:tcPr>
            <w:tcW w:w="3984" w:type="pct"/>
            <w:vAlign w:val="center"/>
          </w:tcPr>
          <w:p w14:paraId="640DF52C" w14:textId="77777777" w:rsidR="002D3AAF" w:rsidRDefault="002D3AAF" w:rsidP="002D3AAF">
            <w:r>
              <w:t>–</w:t>
            </w:r>
          </w:p>
        </w:tc>
      </w:tr>
    </w:tbl>
    <w:p w14:paraId="7F0EF555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5C523F59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BE6C845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F9DEBC9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86B6D70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43D520BB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5A55151E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D180D4C" w14:textId="4549B01F" w:rsidR="000E57E1" w:rsidRPr="00914D57" w:rsidRDefault="008173AA" w:rsidP="004F1842">
            <w:r>
              <w:t>W01.</w:t>
            </w:r>
            <w:r w:rsidR="004F1842">
              <w:t xml:space="preserve"> </w:t>
            </w:r>
            <w:r w:rsidR="004F1842" w:rsidRPr="004F1842">
              <w:t>Student posiada uporządkowaną wiedzę dotyczącą relacji między zarządzaniem informacją a szeroko rozumianą kulturą i sztuką. Rozumie, w jaki sposób elementy kulturowe, artystyczne i naukowe mogą stanowić źródło inspiracji w procesach projektowych i komunikacyjnych. Potrafi wskazać przykłady wykorzystania motywów kulturowych w praktyce zawodowej, zarówno w projektowaniu treści cyfrowych, jak i w publikowaniu informacji.</w:t>
            </w:r>
          </w:p>
        </w:tc>
        <w:tc>
          <w:tcPr>
            <w:tcW w:w="1178" w:type="pct"/>
            <w:vAlign w:val="center"/>
          </w:tcPr>
          <w:p w14:paraId="6EC2D793" w14:textId="6A3F6260" w:rsidR="000E57E1" w:rsidRPr="000E57E1" w:rsidRDefault="006C58D4" w:rsidP="00DE72E8">
            <w:pPr>
              <w:jc w:val="center"/>
            </w:pPr>
            <w:r>
              <w:t>K1_W01</w:t>
            </w:r>
          </w:p>
        </w:tc>
      </w:tr>
      <w:tr w:rsidR="000E57E1" w:rsidRPr="000E57E1" w14:paraId="4C05846C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6255895D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D835DA5" w14:textId="590D7EED" w:rsidR="00A729A3" w:rsidRPr="00A729A3" w:rsidRDefault="00000BF4" w:rsidP="00A729A3">
            <w:pPr>
              <w:jc w:val="both"/>
            </w:pPr>
            <w:r w:rsidRPr="00000BF4">
              <w:t xml:space="preserve">W02. </w:t>
            </w:r>
            <w:r w:rsidR="00BF468E" w:rsidRPr="00BF468E">
              <w:t>Student zna podstawowe teorie i modele dotyczące inspiracji twórczej w kontekście nauk humanistycznych i społecznych. Rozumie mechanizmy powstawania i przetwarzania inspiracji, a także ich rolę w budowaniu narracji informacyjnych. Posiada wiedzę o zjawiskach kulturowych i komunikacyjnych w wymiarze europejskim i globalnym, co pozwala mu twórczo adaptować znane wzorce do nowych projektów i trendów</w:t>
            </w:r>
          </w:p>
          <w:p w14:paraId="0683900D" w14:textId="73AC5429" w:rsidR="000E57E1" w:rsidRPr="000E57E1" w:rsidRDefault="000E57E1" w:rsidP="002A4872">
            <w:pPr>
              <w:jc w:val="both"/>
            </w:pPr>
          </w:p>
        </w:tc>
        <w:tc>
          <w:tcPr>
            <w:tcW w:w="1178" w:type="pct"/>
            <w:vAlign w:val="center"/>
          </w:tcPr>
          <w:p w14:paraId="0039FF58" w14:textId="470277F8" w:rsidR="000E57E1" w:rsidRPr="000E57E1" w:rsidRDefault="006C58D4" w:rsidP="00DE72E8">
            <w:pPr>
              <w:jc w:val="center"/>
            </w:pPr>
            <w:r>
              <w:t>K1_W0</w:t>
            </w:r>
            <w:r w:rsidR="001B69CE">
              <w:t>2</w:t>
            </w:r>
          </w:p>
        </w:tc>
      </w:tr>
    </w:tbl>
    <w:p w14:paraId="77245413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6CADBC2B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7BA6439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4A3BA58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30A16E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706FD19F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6018BB33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E95EF22" w14:textId="5FC556BA" w:rsidR="00DE26A7" w:rsidRPr="00DE26A7" w:rsidRDefault="00D57BD2" w:rsidP="00DE26A7">
            <w:pPr>
              <w:jc w:val="both"/>
            </w:pPr>
            <w:r>
              <w:t>U</w:t>
            </w:r>
            <w:r w:rsidR="00914D57">
              <w:t>01.</w:t>
            </w:r>
            <w:r w:rsidR="00887805">
              <w:t xml:space="preserve"> </w:t>
            </w:r>
            <w:r w:rsidR="00887805" w:rsidRPr="00887805">
              <w:t>Student posiada umiejętność samodzielnego wyszukiwania i selekcjonowania materiałów źródłowych z różnych obszarów wiedzy, w tym publikacji naukowych, dokumentów instytucjonalnych oraz zasobów cyfrowych. Potrafi je krytycznie analizować, porównywać i interpretować, a następnie twórczo przekształcać w celu uzyskania nowych jakości informacyjnych. Wykazuje zdolność adaptowania pozyskanych treści do odmiennych kontekstów projektowych i komunikacyjnych, uwzględniając specyfikę odbiorców, medium przekazu oraz cele strategiczne. Umie integrować różnorodne źródła w spójne narracje, które wspierają proces projektowania informacji i publikowania cyfrowego.</w:t>
            </w:r>
          </w:p>
          <w:p w14:paraId="2FD27DDA" w14:textId="7903B48E" w:rsidR="00A31668" w:rsidRPr="00A31668" w:rsidRDefault="00A31668" w:rsidP="00AB342D">
            <w:pPr>
              <w:jc w:val="both"/>
            </w:pPr>
          </w:p>
        </w:tc>
        <w:tc>
          <w:tcPr>
            <w:tcW w:w="1178" w:type="pct"/>
            <w:vAlign w:val="center"/>
          </w:tcPr>
          <w:p w14:paraId="3932E45F" w14:textId="7D853816" w:rsidR="00914D57" w:rsidRPr="000E57E1" w:rsidRDefault="006C58D4" w:rsidP="005A0761">
            <w:pPr>
              <w:jc w:val="center"/>
            </w:pPr>
            <w:r>
              <w:t>K1_U03</w:t>
            </w:r>
          </w:p>
        </w:tc>
      </w:tr>
      <w:tr w:rsidR="00914D57" w:rsidRPr="000E57E1" w14:paraId="4FE73868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0CC9BB0C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45F4016" w14:textId="77BCF2B2" w:rsidR="00A0758A" w:rsidRPr="00A0758A" w:rsidRDefault="00D57BD2" w:rsidP="00A0758A">
            <w:pPr>
              <w:jc w:val="both"/>
            </w:pPr>
            <w:r>
              <w:t>U</w:t>
            </w:r>
            <w:r w:rsidR="00914D57" w:rsidRPr="00000BF4">
              <w:t xml:space="preserve">02. </w:t>
            </w:r>
            <w:r w:rsidR="00A0758A">
              <w:t>P</w:t>
            </w:r>
            <w:r w:rsidR="00A0758A" w:rsidRPr="00A0758A">
              <w:t>otrafi przygotować i zaprezentować multimedialną prezentację inspirowaną różnorodnymi źródłami, zgodnie z określonymi wytycznymi i wymaganiami.</w:t>
            </w:r>
          </w:p>
          <w:p w14:paraId="32197F9F" w14:textId="752A3FB1" w:rsidR="00914D57" w:rsidRPr="000E57E1" w:rsidRDefault="00914D57" w:rsidP="00AB342D">
            <w:pPr>
              <w:jc w:val="both"/>
            </w:pPr>
          </w:p>
        </w:tc>
        <w:tc>
          <w:tcPr>
            <w:tcW w:w="1178" w:type="pct"/>
            <w:vAlign w:val="center"/>
          </w:tcPr>
          <w:p w14:paraId="1741BC73" w14:textId="1CBA22A6" w:rsidR="00914D57" w:rsidRPr="000E57E1" w:rsidRDefault="006C58D4" w:rsidP="005A0761">
            <w:pPr>
              <w:jc w:val="center"/>
            </w:pPr>
            <w:r>
              <w:t>K1_U0</w:t>
            </w:r>
            <w:r w:rsidR="00AB342D">
              <w:t>5</w:t>
            </w:r>
          </w:p>
        </w:tc>
      </w:tr>
    </w:tbl>
    <w:p w14:paraId="1C3807C7" w14:textId="77777777" w:rsidR="00A801A6" w:rsidRDefault="00A801A6" w:rsidP="00B56EF9"/>
    <w:tbl>
      <w:tblPr>
        <w:tblW w:w="5000" w:type="pct"/>
        <w:tblInd w:w="-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132"/>
        <w:gridCol w:w="959"/>
        <w:gridCol w:w="1130"/>
        <w:gridCol w:w="1132"/>
        <w:gridCol w:w="1132"/>
        <w:gridCol w:w="1097"/>
        <w:gridCol w:w="35"/>
        <w:gridCol w:w="1132"/>
        <w:gridCol w:w="1124"/>
        <w:gridCol w:w="18"/>
      </w:tblGrid>
      <w:tr w:rsidR="00D57BD2" w:rsidRPr="000E57E1" w14:paraId="2875F03E" w14:textId="77777777" w:rsidTr="282F608A">
        <w:trPr>
          <w:gridAfter w:val="1"/>
          <w:wAfter w:w="8" w:type="pct"/>
          <w:cantSplit/>
          <w:trHeight w:val="930"/>
        </w:trPr>
        <w:tc>
          <w:tcPr>
            <w:tcW w:w="1018" w:type="pct"/>
            <w:gridSpan w:val="2"/>
            <w:vMerge w:val="restart"/>
            <w:shd w:val="clear" w:color="auto" w:fill="DBE5F1"/>
            <w:vAlign w:val="center"/>
          </w:tcPr>
          <w:p w14:paraId="2C8F2BAB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797" w:type="pct"/>
            <w:gridSpan w:val="5"/>
            <w:shd w:val="clear" w:color="auto" w:fill="DBE5F1"/>
            <w:vAlign w:val="center"/>
          </w:tcPr>
          <w:p w14:paraId="0B8B18D0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6" w:type="pct"/>
            <w:gridSpan w:val="3"/>
            <w:shd w:val="clear" w:color="auto" w:fill="DBE5F1"/>
            <w:vAlign w:val="center"/>
          </w:tcPr>
          <w:p w14:paraId="7243A74C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5DA12829" w14:textId="77777777" w:rsidTr="282F608A">
        <w:trPr>
          <w:gridAfter w:val="1"/>
          <w:wAfter w:w="8" w:type="pct"/>
          <w:cantSplit/>
          <w:trHeight w:val="399"/>
        </w:trPr>
        <w:tc>
          <w:tcPr>
            <w:tcW w:w="1018" w:type="pct"/>
            <w:gridSpan w:val="2"/>
            <w:vMerge/>
          </w:tcPr>
          <w:p w14:paraId="4F8E4813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797" w:type="pct"/>
            <w:gridSpan w:val="5"/>
            <w:vAlign w:val="center"/>
          </w:tcPr>
          <w:p w14:paraId="374D6634" w14:textId="632E0015" w:rsidR="00C639E6" w:rsidRPr="00C639E6" w:rsidRDefault="004306B5" w:rsidP="00C639E6">
            <w:pPr>
              <w:jc w:val="both"/>
            </w:pPr>
            <w:r>
              <w:t>K</w:t>
            </w:r>
            <w:r w:rsidR="00D57BD2">
              <w:t xml:space="preserve">01. </w:t>
            </w:r>
            <w:r w:rsidR="00C639E6" w:rsidRPr="00C639E6">
              <w:t>Rozumie interdyscyplinarność dziedziny i jej powiązania z praktyką zawodową, potrafi ocenić komercyjny i społeczny efekt działań projektowych.</w:t>
            </w:r>
          </w:p>
          <w:p w14:paraId="206FDAAB" w14:textId="2F56A88A" w:rsidR="00D57BD2" w:rsidRPr="00914D57" w:rsidRDefault="00D57BD2" w:rsidP="00AB342D">
            <w:pPr>
              <w:jc w:val="both"/>
            </w:pPr>
          </w:p>
        </w:tc>
        <w:tc>
          <w:tcPr>
            <w:tcW w:w="1176" w:type="pct"/>
            <w:gridSpan w:val="3"/>
            <w:vAlign w:val="center"/>
          </w:tcPr>
          <w:p w14:paraId="7E249CD2" w14:textId="64299495" w:rsidR="00D57BD2" w:rsidRPr="000E57E1" w:rsidRDefault="003B09AE" w:rsidP="005A0761">
            <w:pPr>
              <w:jc w:val="center"/>
            </w:pPr>
            <w:r>
              <w:t>K</w:t>
            </w:r>
            <w:r w:rsidR="00AB342D">
              <w:t>1</w:t>
            </w:r>
            <w:r>
              <w:t>_K0</w:t>
            </w:r>
            <w:r w:rsidR="00AB342D">
              <w:t>1</w:t>
            </w:r>
          </w:p>
        </w:tc>
      </w:tr>
      <w:tr w:rsidR="00D57BD2" w:rsidRPr="000E57E1" w14:paraId="4A1B04A5" w14:textId="77777777" w:rsidTr="282F608A">
        <w:trPr>
          <w:gridAfter w:val="1"/>
          <w:wAfter w:w="8" w:type="pct"/>
          <w:cantSplit/>
          <w:trHeight w:val="397"/>
        </w:trPr>
        <w:tc>
          <w:tcPr>
            <w:tcW w:w="1018" w:type="pct"/>
            <w:gridSpan w:val="2"/>
            <w:vMerge/>
          </w:tcPr>
          <w:p w14:paraId="0A8EA11D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797" w:type="pct"/>
            <w:gridSpan w:val="5"/>
            <w:vAlign w:val="center"/>
          </w:tcPr>
          <w:p w14:paraId="1CC77E73" w14:textId="4BFBE092" w:rsidR="00D57BD2" w:rsidRPr="00AB342D" w:rsidRDefault="004306B5" w:rsidP="00D037B4">
            <w:pPr>
              <w:jc w:val="both"/>
            </w:pPr>
            <w:r w:rsidRPr="00AB342D">
              <w:t>K</w:t>
            </w:r>
            <w:r w:rsidR="00D57BD2" w:rsidRPr="00AB342D">
              <w:t xml:space="preserve">02. </w:t>
            </w:r>
            <w:r w:rsidR="00D037B4" w:rsidRPr="00D037B4">
              <w:t>Student rozwija zdolność świadomego i twórczego korzystania z wyobraźni, intuicji oraz kreatywnego myślenia w procesie realizacji zadań. Potrafi łączyć różnorodne perspektywy i koncepcje, aby tworzyć oryginalne rozwiązania zarówno w pracy indywidualnej, jak i w zespołowych przedsięwzięciach projektowych</w:t>
            </w:r>
          </w:p>
        </w:tc>
        <w:tc>
          <w:tcPr>
            <w:tcW w:w="1176" w:type="pct"/>
            <w:gridSpan w:val="3"/>
            <w:vAlign w:val="center"/>
          </w:tcPr>
          <w:p w14:paraId="2C4ABC00" w14:textId="0CF3A4E9" w:rsidR="00D57BD2" w:rsidRPr="000E57E1" w:rsidRDefault="003B09AE" w:rsidP="005A0761">
            <w:pPr>
              <w:jc w:val="center"/>
            </w:pPr>
            <w:r>
              <w:t>K1_K04</w:t>
            </w:r>
          </w:p>
        </w:tc>
      </w:tr>
      <w:tr w:rsidR="00066429" w:rsidRPr="00BE178A" w14:paraId="45376442" w14:textId="77777777" w:rsidTr="282F608A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CellMar>
            <w:left w:w="57" w:type="dxa"/>
            <w:right w:w="57" w:type="dxa"/>
          </w:tblCellMar>
        </w:tblPrEx>
        <w:trPr>
          <w:cantSplit/>
          <w:trHeight w:hRule="exact" w:val="424"/>
        </w:trPr>
        <w:tc>
          <w:tcPr>
            <w:tcW w:w="5000" w:type="pct"/>
            <w:gridSpan w:val="11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2E5D0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5D80178E" w14:textId="77777777" w:rsidTr="282F608A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CellMar>
            <w:left w:w="57" w:type="dxa"/>
            <w:right w:w="57" w:type="dxa"/>
          </w:tblCellMar>
        </w:tblPrEx>
        <w:trPr>
          <w:cantSplit/>
          <w:trHeight w:val="654"/>
        </w:trPr>
        <w:tc>
          <w:tcPr>
            <w:tcW w:w="950" w:type="pct"/>
            <w:vMerge w:val="restart"/>
            <w:tcBorders>
              <w:top w:val="single" w:sz="2" w:space="0" w:color="B4C6E7" w:themeColor="accent1" w:themeTint="66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790E1004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B4C6E7" w:themeColor="accent1" w:themeTint="66"/>
            </w:tcBorders>
            <w:vAlign w:val="center"/>
          </w:tcPr>
          <w:p w14:paraId="2B8953B4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8"/>
            <w:tcBorders>
              <w:top w:val="single" w:sz="2" w:space="0" w:color="95B3D7"/>
              <w:left w:val="single" w:sz="2" w:space="0" w:color="B4C6E7" w:themeColor="accent1" w:themeTint="66"/>
              <w:bottom w:val="single" w:sz="2" w:space="0" w:color="95B3D7"/>
              <w:right w:val="single" w:sz="2" w:space="0" w:color="95B3D7"/>
            </w:tcBorders>
            <w:vAlign w:val="center"/>
          </w:tcPr>
          <w:p w14:paraId="4E5CE9BF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523370AF" w14:textId="77777777" w:rsidTr="282F608A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950" w:type="pct"/>
            <w:vMerge/>
            <w:vAlign w:val="center"/>
          </w:tcPr>
          <w:p w14:paraId="16149441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gridSpan w:val="2"/>
            <w:vMerge/>
            <w:vAlign w:val="center"/>
          </w:tcPr>
          <w:p w14:paraId="2E884A25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top w:val="single" w:sz="2" w:space="0" w:color="95B3D7"/>
              <w:left w:val="single" w:sz="2" w:space="0" w:color="B4C6E7" w:themeColor="accent1" w:themeTint="66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140B0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86B723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D094607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7D04E2B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D537002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4FCD2E4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428D4FE6" w14:textId="77777777" w:rsidTr="282F608A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950" w:type="pct"/>
            <w:tcBorders>
              <w:top w:val="single" w:sz="2" w:space="0" w:color="B4C6E7" w:themeColor="accent1" w:themeTint="66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A76CD15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gridSpan w:val="2"/>
            <w:tcBorders>
              <w:top w:val="single" w:sz="2" w:space="0" w:color="B4C6E7" w:themeColor="accent1" w:themeTint="66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AA65A7F" w14:textId="53136C31" w:rsidR="00054763" w:rsidRPr="00BE178A" w:rsidRDefault="002A4872" w:rsidP="000A1FA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0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A98FF" w14:textId="6141CC81" w:rsidR="00054763" w:rsidRPr="00BE178A" w:rsidRDefault="282F608A" w:rsidP="000A1FA6">
            <w:pPr>
              <w:pStyle w:val="Zawartotabeli"/>
              <w:jc w:val="center"/>
            </w:pPr>
            <w:r>
              <w:t>1</w:t>
            </w:r>
            <w:r w:rsidR="00974586">
              <w:t>5</w:t>
            </w: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C46D4" w14:textId="11CFA18A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D3604D6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4C646D11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43B91199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7" w:type="pct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DE4EE0E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423F08F7" w14:textId="77777777" w:rsidR="000E57E1" w:rsidRPr="00A801A6" w:rsidRDefault="000E57E1" w:rsidP="00B56EF9"/>
    <w:p w14:paraId="0747C07A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F6AB536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61A02DF4" w14:textId="77777777" w:rsidR="00BF051A" w:rsidRPr="00BF051A" w:rsidRDefault="00BF051A" w:rsidP="00BF051A">
            <w:pPr>
              <w:pStyle w:val="Zawartotabeli"/>
              <w:jc w:val="both"/>
            </w:pPr>
            <w:r w:rsidRPr="00BF051A">
              <w:t xml:space="preserve">Zajęcia realizowane są w trybie stacjonarnym lub hybrydowym. Poszczególne elementy kursu – w tym zadania i testy – udostępniane są na platformach TEAMS i/lub </w:t>
            </w:r>
            <w:proofErr w:type="spellStart"/>
            <w:r w:rsidRPr="00BF051A">
              <w:t>Moodle</w:t>
            </w:r>
            <w:proofErr w:type="spellEnd"/>
            <w:r w:rsidRPr="00BF051A">
              <w:t>. W uzasadnionych przypadkach przedmiot może być prowadzony również w formie synchronicznej online z wykorzystaniem tych samych narzędzi.</w:t>
            </w:r>
          </w:p>
          <w:p w14:paraId="590FC61A" w14:textId="77777777" w:rsidR="00BF051A" w:rsidRPr="00BF051A" w:rsidRDefault="00BF051A" w:rsidP="00BF051A">
            <w:pPr>
              <w:pStyle w:val="Zawartotabeli"/>
              <w:jc w:val="both"/>
            </w:pPr>
            <w:r w:rsidRPr="00BF051A">
              <w:t>Podstawowymi metodami dydaktycznymi są:</w:t>
            </w:r>
          </w:p>
          <w:p w14:paraId="4D2FB2D4" w14:textId="77777777" w:rsidR="00BF051A" w:rsidRPr="00BF051A" w:rsidRDefault="00BF051A" w:rsidP="00BF051A">
            <w:pPr>
              <w:pStyle w:val="Zawartotabeli"/>
              <w:numPr>
                <w:ilvl w:val="0"/>
                <w:numId w:val="13"/>
              </w:numPr>
              <w:jc w:val="both"/>
            </w:pPr>
            <w:r w:rsidRPr="00BF051A">
              <w:t>praca laboratoryjna przy komputerze związana z wykonywaniem konkretnych zadań,</w:t>
            </w:r>
          </w:p>
          <w:p w14:paraId="39EC519F" w14:textId="77777777" w:rsidR="00BF051A" w:rsidRPr="00BF051A" w:rsidRDefault="00BF051A" w:rsidP="00BF051A">
            <w:pPr>
              <w:pStyle w:val="Zawartotabeli"/>
              <w:numPr>
                <w:ilvl w:val="0"/>
                <w:numId w:val="13"/>
              </w:numPr>
              <w:jc w:val="both"/>
            </w:pPr>
            <w:r w:rsidRPr="00BF051A">
              <w:t>moderowana dyskusja,</w:t>
            </w:r>
          </w:p>
          <w:p w14:paraId="3A041C1A" w14:textId="77777777" w:rsidR="00BF051A" w:rsidRPr="00BF051A" w:rsidRDefault="00BF051A" w:rsidP="00BF051A">
            <w:pPr>
              <w:pStyle w:val="Zawartotabeli"/>
              <w:numPr>
                <w:ilvl w:val="0"/>
                <w:numId w:val="13"/>
              </w:numPr>
              <w:jc w:val="both"/>
            </w:pPr>
            <w:r w:rsidRPr="00BF051A">
              <w:t>analiza materiałów,</w:t>
            </w:r>
          </w:p>
          <w:p w14:paraId="4AB6D508" w14:textId="77777777" w:rsidR="00BF051A" w:rsidRPr="00BF051A" w:rsidRDefault="00BF051A" w:rsidP="00BF051A">
            <w:pPr>
              <w:pStyle w:val="Zawartotabeli"/>
              <w:numPr>
                <w:ilvl w:val="0"/>
                <w:numId w:val="13"/>
              </w:numPr>
              <w:jc w:val="both"/>
            </w:pPr>
            <w:r w:rsidRPr="00BF051A">
              <w:t>przygotowanie i prezentacja treści,</w:t>
            </w:r>
          </w:p>
          <w:p w14:paraId="63176799" w14:textId="77777777" w:rsidR="00BF051A" w:rsidRPr="00BF051A" w:rsidRDefault="00BF051A" w:rsidP="00BF051A">
            <w:pPr>
              <w:pStyle w:val="Zawartotabeli"/>
              <w:numPr>
                <w:ilvl w:val="0"/>
                <w:numId w:val="13"/>
              </w:numPr>
              <w:jc w:val="both"/>
            </w:pPr>
            <w:r w:rsidRPr="00BF051A">
              <w:t>wykład informacyjny, problemowy i konwersatoryjny wspierany prezentacjami multimedialnymi.</w:t>
            </w:r>
          </w:p>
          <w:p w14:paraId="13EE54AB" w14:textId="77777777" w:rsidR="00BF051A" w:rsidRPr="00BF051A" w:rsidRDefault="00BF051A" w:rsidP="00BF051A">
            <w:pPr>
              <w:pStyle w:val="Zawartotabeli"/>
              <w:jc w:val="both"/>
            </w:pPr>
            <w:r w:rsidRPr="00BF051A">
              <w:t>Każde zadanie przewidziane w ramach kursu posiada przypisaną liczbę godzin pracy własnej studenta.</w:t>
            </w:r>
          </w:p>
          <w:p w14:paraId="0981A7EC" w14:textId="77777777" w:rsidR="00CE00D7" w:rsidRPr="00CE00D7" w:rsidRDefault="00CE00D7" w:rsidP="00CE00D7">
            <w:pPr>
              <w:pStyle w:val="Zawartotabeli"/>
              <w:jc w:val="both"/>
            </w:pPr>
            <w:r w:rsidRPr="00CE00D7">
              <w:t>Efekty uczenia się mogą być weryfikowane przez:</w:t>
            </w:r>
          </w:p>
          <w:p w14:paraId="4E13C68D" w14:textId="77777777" w:rsidR="00CE00D7" w:rsidRPr="00CE00D7" w:rsidRDefault="00CE00D7" w:rsidP="00CE00D7">
            <w:pPr>
              <w:pStyle w:val="Zawartotabeli"/>
              <w:numPr>
                <w:ilvl w:val="0"/>
                <w:numId w:val="14"/>
              </w:numPr>
              <w:jc w:val="both"/>
            </w:pPr>
            <w:r w:rsidRPr="00CE00D7">
              <w:t>testy (kolokwia),</w:t>
            </w:r>
          </w:p>
          <w:p w14:paraId="67B4E371" w14:textId="77777777" w:rsidR="00CE00D7" w:rsidRPr="00CE00D7" w:rsidRDefault="00CE00D7" w:rsidP="00CE00D7">
            <w:pPr>
              <w:pStyle w:val="Zawartotabeli"/>
              <w:numPr>
                <w:ilvl w:val="0"/>
                <w:numId w:val="14"/>
              </w:numPr>
              <w:jc w:val="both"/>
            </w:pPr>
            <w:r w:rsidRPr="00CE00D7">
              <w:t xml:space="preserve">quizy edukacyjne (np. </w:t>
            </w:r>
            <w:proofErr w:type="spellStart"/>
            <w:r w:rsidRPr="00CE00D7">
              <w:t>Kahoot</w:t>
            </w:r>
            <w:proofErr w:type="spellEnd"/>
            <w:r w:rsidRPr="00CE00D7">
              <w:t>),</w:t>
            </w:r>
          </w:p>
          <w:p w14:paraId="21864630" w14:textId="77777777" w:rsidR="00CE00D7" w:rsidRPr="00CE00D7" w:rsidRDefault="00CE00D7" w:rsidP="00CE00D7">
            <w:pPr>
              <w:pStyle w:val="Zawartotabeli"/>
              <w:numPr>
                <w:ilvl w:val="0"/>
                <w:numId w:val="14"/>
              </w:numPr>
              <w:jc w:val="both"/>
            </w:pPr>
            <w:r w:rsidRPr="00CE00D7">
              <w:t>realizację projektów grupowych,</w:t>
            </w:r>
          </w:p>
          <w:p w14:paraId="373F54A3" w14:textId="77777777" w:rsidR="00CE00D7" w:rsidRPr="00CE00D7" w:rsidRDefault="00CE00D7" w:rsidP="00CE00D7">
            <w:pPr>
              <w:pStyle w:val="Zawartotabeli"/>
              <w:numPr>
                <w:ilvl w:val="0"/>
                <w:numId w:val="14"/>
              </w:numPr>
              <w:jc w:val="both"/>
            </w:pPr>
            <w:r w:rsidRPr="00CE00D7">
              <w:t>realizację projektów indywidualnych,</w:t>
            </w:r>
          </w:p>
          <w:p w14:paraId="139EC9B5" w14:textId="77777777" w:rsidR="00CE00D7" w:rsidRPr="00CE00D7" w:rsidRDefault="00CE00D7" w:rsidP="00CE00D7">
            <w:pPr>
              <w:pStyle w:val="Zawartotabeli"/>
              <w:numPr>
                <w:ilvl w:val="0"/>
                <w:numId w:val="14"/>
              </w:numPr>
              <w:jc w:val="both"/>
            </w:pPr>
            <w:r w:rsidRPr="00CE00D7">
              <w:t>prace zaliczeniowe (indywidualne i grupowe),</w:t>
            </w:r>
          </w:p>
          <w:p w14:paraId="4DACEC16" w14:textId="77777777" w:rsidR="00CE00D7" w:rsidRPr="00CE00D7" w:rsidRDefault="00CE00D7" w:rsidP="00CE00D7">
            <w:pPr>
              <w:pStyle w:val="Zawartotabeli"/>
              <w:numPr>
                <w:ilvl w:val="0"/>
                <w:numId w:val="14"/>
              </w:numPr>
              <w:jc w:val="both"/>
            </w:pPr>
            <w:r w:rsidRPr="00CE00D7">
              <w:t>bieżące zadania laboratoryjne.</w:t>
            </w:r>
          </w:p>
          <w:p w14:paraId="7DE9DED5" w14:textId="77777777" w:rsidR="00CE00D7" w:rsidRPr="00CE00D7" w:rsidRDefault="00CE00D7" w:rsidP="00CE00D7">
            <w:pPr>
              <w:pStyle w:val="Zawartotabeli"/>
              <w:jc w:val="both"/>
            </w:pPr>
            <w:r w:rsidRPr="00CE00D7">
              <w:t>Ostateczna decyzja dotycząca form weryfikacji zostanie podjęta w trakcie pracy studentów i dostosowana do rytmu zajęć oraz poziomu umiejętności uczestników.</w:t>
            </w:r>
          </w:p>
          <w:p w14:paraId="6E859CDD" w14:textId="4F9512EF" w:rsidR="00F0542E" w:rsidRPr="00CE00D7" w:rsidRDefault="00F0542E" w:rsidP="00CE00D7">
            <w:pPr>
              <w:pStyle w:val="Zawartotabeli"/>
              <w:jc w:val="both"/>
            </w:pPr>
          </w:p>
          <w:p w14:paraId="33DC0BEC" w14:textId="742CFB11" w:rsidR="00CE00D7" w:rsidRPr="00CE00D7" w:rsidRDefault="00CE00D7" w:rsidP="00CE00D7">
            <w:pPr>
              <w:pStyle w:val="Zawartotabeli"/>
              <w:jc w:val="both"/>
            </w:pPr>
            <w:r w:rsidRPr="00CE00D7">
              <w:rPr>
                <w:b/>
                <w:bCs/>
              </w:rPr>
              <w:t xml:space="preserve">Każde zajęcia kończą się minimum jedną pracą laboratoryjną – pisemną lub rysunkową – która musi zostać dodana </w:t>
            </w:r>
            <w:r w:rsidR="00F0542E">
              <w:rPr>
                <w:b/>
                <w:bCs/>
              </w:rPr>
              <w:t xml:space="preserve">w zaplanowanym terminie </w:t>
            </w:r>
            <w:r w:rsidRPr="00CE00D7">
              <w:rPr>
                <w:b/>
                <w:bCs/>
              </w:rPr>
              <w:t>na platformę TEAMS.</w:t>
            </w:r>
          </w:p>
          <w:p w14:paraId="6FF75AFE" w14:textId="77777777" w:rsidR="00566634" w:rsidRPr="00BF051A" w:rsidRDefault="00566634" w:rsidP="00BF051A">
            <w:pPr>
              <w:pStyle w:val="Zawartotabeli"/>
              <w:jc w:val="both"/>
            </w:pPr>
          </w:p>
        </w:tc>
      </w:tr>
    </w:tbl>
    <w:p w14:paraId="3BB6CB09" w14:textId="77777777" w:rsidR="00303F50" w:rsidRDefault="00303F50" w:rsidP="00B56EF9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7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4"/>
      </w:tblGrid>
      <w:tr w:rsidR="00406DEF" w:rsidRPr="00BE178A" w14:paraId="158D7A20" w14:textId="77777777" w:rsidTr="00AB342D">
        <w:trPr>
          <w:cantSplit/>
          <w:trHeight w:val="2102"/>
        </w:trPr>
        <w:tc>
          <w:tcPr>
            <w:tcW w:w="506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E97D9D4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8C97BF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6A64C6E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4CF1431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7467BEE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60D5B62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977BD9B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1B1B893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A02D45D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6999E274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4F9160D8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73D1D1B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E925819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2" w:type="pct"/>
            <w:shd w:val="clear" w:color="auto" w:fill="DBE5F1"/>
            <w:textDirection w:val="btLr"/>
            <w:vAlign w:val="center"/>
          </w:tcPr>
          <w:p w14:paraId="6F4A6EE7" w14:textId="77777777" w:rsidR="002B5DE1" w:rsidRPr="00BE178A" w:rsidRDefault="00B72CFD" w:rsidP="000A1FA6">
            <w:r>
              <w:t>Inne</w:t>
            </w:r>
          </w:p>
        </w:tc>
      </w:tr>
      <w:tr w:rsidR="00CD0BE3" w:rsidRPr="00BE178A" w14:paraId="046BE8E2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6F92C7CF" w14:textId="77777777" w:rsidR="002B5DE1" w:rsidRPr="00BE178A" w:rsidRDefault="002B5DE1" w:rsidP="000A1FA6">
            <w:r w:rsidRPr="00BE178A">
              <w:lastRenderedPageBreak/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D08342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EC5A1FE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EE487C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039DCE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6DC23D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657E97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5A4457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A09816E" w14:textId="5CFFA894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9B7305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3C5D86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80C227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920AE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41B97FE2" w14:textId="06D7C922" w:rsidR="002B5DE1" w:rsidRPr="00BE178A" w:rsidRDefault="002B5DE1" w:rsidP="008E4F24">
            <w:pPr>
              <w:jc w:val="center"/>
            </w:pPr>
          </w:p>
        </w:tc>
      </w:tr>
      <w:tr w:rsidR="00CD0BE3" w:rsidRPr="00BE178A" w14:paraId="1FA7C338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AD1C92B" w14:textId="77777777" w:rsidR="002B5DE1" w:rsidRPr="00BE178A" w:rsidRDefault="002B5DE1" w:rsidP="000A1FA6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D1F50C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56A1005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0F57F1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5193EB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487D68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3D25E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6E2C48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49AA485" w14:textId="56F323AF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2BA6599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7C8809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1FA5FF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41A17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29DD08CF" w14:textId="4DCB2F06" w:rsidR="002B5DE1" w:rsidRPr="00BE178A" w:rsidRDefault="002B5DE1" w:rsidP="008E4F24">
            <w:pPr>
              <w:jc w:val="center"/>
            </w:pPr>
          </w:p>
        </w:tc>
      </w:tr>
      <w:tr w:rsidR="00CD0BE3" w:rsidRPr="00BE178A" w14:paraId="478BC2A9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8D32CA0" w14:textId="77777777" w:rsidR="002B5DE1" w:rsidRPr="00BE178A" w:rsidRDefault="002B5DE1" w:rsidP="000A1FA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863C2A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2E5F6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C0F904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C1E7F5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07B8D2" w14:textId="01C297F9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84A1B24" w14:textId="214CE022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E001F86" w14:textId="05D47190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5C643CC" w14:textId="1F7DBEC8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5223ED6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7588CC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1D4C6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09591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67ABDEB5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6DCB679A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7B79F5D" w14:textId="77777777" w:rsidR="002B5DE1" w:rsidRPr="00BE178A" w:rsidRDefault="002B5DE1" w:rsidP="000A1FA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A69A80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260B87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3917A7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14A4F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6087D61" w14:textId="360CC9CF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EBEC52F" w14:textId="2504288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9F78D5" w14:textId="5282FA98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BEB7EA2" w14:textId="4BD04657" w:rsidR="002B5DE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466055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8E7911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6B5882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D3427F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4EEF21F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0FEF40C6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1A53FE35" w14:textId="77777777" w:rsidR="00BF2481" w:rsidRPr="00BE178A" w:rsidRDefault="00BF2481" w:rsidP="000A1FA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34BE7E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20B9E8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2CD30D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D8018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DC03659" w14:textId="55133E60" w:rsidR="00BF248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1F1C0B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279D6F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737751B" w14:textId="5E4CBBE5" w:rsidR="00BF248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5943DF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319FD34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71390E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4A9CB2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40E4431B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40C93F68" w14:textId="77777777" w:rsidTr="00AB342D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689496DD" w14:textId="77777777" w:rsidR="00BF2481" w:rsidRPr="00BE178A" w:rsidRDefault="00BF2481" w:rsidP="000A1FA6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76C793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772560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859E184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B2D628A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2A1CF3" w14:textId="40D123EC" w:rsidR="00BF248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5A587CC" w14:textId="523B7382" w:rsidR="00BF2481" w:rsidRPr="00BE178A" w:rsidRDefault="004E625D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A5757B4" w14:textId="43DB6195" w:rsidR="00BF2481" w:rsidRPr="00BE178A" w:rsidRDefault="004E625D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3CC6FE1" w14:textId="325BE582" w:rsidR="00BF2481" w:rsidRPr="00BE178A" w:rsidRDefault="00CB56F2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14ECDC4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DCAC1C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795F3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468BF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62751591" w14:textId="77777777" w:rsidR="00BF2481" w:rsidRPr="00BE178A" w:rsidRDefault="00BF2481" w:rsidP="008E4F24">
            <w:pPr>
              <w:jc w:val="center"/>
            </w:pPr>
          </w:p>
        </w:tc>
      </w:tr>
    </w:tbl>
    <w:p w14:paraId="3A2AE8A7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18B57B6B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B2C1242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431A531" w14:textId="77777777" w:rsidR="00062ECA" w:rsidRDefault="00CB56F2" w:rsidP="008436D4">
            <w:pPr>
              <w:pStyle w:val="Zawartotabeli"/>
              <w:rPr>
                <w:rFonts w:asciiTheme="minorHAnsi" w:hAnsiTheme="minorHAnsi" w:cstheme="minorHAnsi"/>
                <w:lang w:eastAsia="en-US"/>
              </w:rPr>
            </w:pPr>
            <w:r w:rsidRPr="00F562AC">
              <w:rPr>
                <w:rFonts w:asciiTheme="minorHAnsi" w:hAnsiTheme="minorHAnsi" w:cstheme="minorHAnsi"/>
                <w:lang w:eastAsia="en-US"/>
              </w:rPr>
              <w:t xml:space="preserve">Warunkiem zaliczenia </w:t>
            </w:r>
            <w:r>
              <w:rPr>
                <w:rFonts w:asciiTheme="minorHAnsi" w:hAnsiTheme="minorHAnsi" w:cstheme="minorHAnsi"/>
                <w:lang w:eastAsia="en-US"/>
              </w:rPr>
              <w:t xml:space="preserve">wykładów wykonanie zaleconych </w:t>
            </w:r>
            <w:r w:rsidR="008436D4">
              <w:rPr>
                <w:rFonts w:asciiTheme="minorHAnsi" w:hAnsiTheme="minorHAnsi" w:cstheme="minorHAnsi"/>
                <w:lang w:eastAsia="en-US"/>
              </w:rPr>
              <w:t xml:space="preserve">do treści wykładowych </w:t>
            </w:r>
            <w:r>
              <w:rPr>
                <w:rFonts w:asciiTheme="minorHAnsi" w:hAnsiTheme="minorHAnsi" w:cstheme="minorHAnsi"/>
                <w:lang w:eastAsia="en-US"/>
              </w:rPr>
              <w:t>zadań</w:t>
            </w:r>
            <w:r w:rsidR="00062ECA">
              <w:rPr>
                <w:rFonts w:asciiTheme="minorHAnsi" w:hAnsiTheme="minorHAnsi" w:cstheme="minorHAnsi"/>
                <w:lang w:eastAsia="en-US"/>
              </w:rPr>
              <w:t xml:space="preserve"> oraz zaliczenie treści zajęć praktycznych i teoretycznych (dyskusja podczas wykładów oraz zadania cząstkowe do wykładów)</w:t>
            </w:r>
            <w:r w:rsidR="008436D4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04C51B50" w14:textId="1F9B1FB8" w:rsidR="00303F50" w:rsidRDefault="00CB56F2" w:rsidP="008436D4">
            <w:pPr>
              <w:pStyle w:val="Zawartotabeli"/>
            </w:pPr>
            <w:r>
              <w:rPr>
                <w:rFonts w:asciiTheme="minorHAnsi" w:hAnsiTheme="minorHAnsi" w:cstheme="minorHAnsi"/>
                <w:lang w:eastAsia="en-US"/>
              </w:rPr>
              <w:t>Zaliczenie ćwiczeń:  poprawne i terminowe przygotowanie</w:t>
            </w:r>
            <w:r w:rsidRPr="00F562A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 xml:space="preserve">i zaprezentowanie </w:t>
            </w:r>
            <w:r w:rsidRPr="00F562AC">
              <w:rPr>
                <w:rFonts w:asciiTheme="minorHAnsi" w:hAnsiTheme="minorHAnsi" w:cstheme="minorHAnsi"/>
                <w:lang w:eastAsia="en-US"/>
              </w:rPr>
              <w:t>zadań</w:t>
            </w:r>
            <w:r>
              <w:rPr>
                <w:rFonts w:asciiTheme="minorHAnsi" w:hAnsiTheme="minorHAnsi" w:cstheme="minorHAnsi"/>
                <w:lang w:eastAsia="en-US"/>
              </w:rPr>
              <w:t xml:space="preserve">, dodanie w wymaganym i oznaczonym przez wykładowcę terminie plików </w:t>
            </w:r>
            <w:r w:rsidRPr="00F562AC">
              <w:rPr>
                <w:rFonts w:asciiTheme="minorHAnsi" w:hAnsiTheme="minorHAnsi" w:cstheme="minorHAnsi"/>
                <w:lang w:eastAsia="en-US"/>
              </w:rPr>
              <w:t xml:space="preserve">na platformie TEAMS i/lub </w:t>
            </w:r>
            <w:proofErr w:type="spellStart"/>
            <w:r w:rsidRPr="00F562AC">
              <w:rPr>
                <w:rFonts w:asciiTheme="minorHAnsi" w:hAnsiTheme="minorHAnsi" w:cstheme="minorHAnsi"/>
                <w:lang w:eastAsia="en-US"/>
              </w:rPr>
              <w:t>Moodle</w:t>
            </w:r>
            <w:proofErr w:type="spellEnd"/>
            <w:r w:rsidRPr="00F562AC">
              <w:rPr>
                <w:rFonts w:asciiTheme="minorHAnsi" w:hAnsiTheme="minorHAnsi" w:cstheme="minorHAnsi"/>
                <w:lang w:eastAsia="en-US"/>
              </w:rPr>
              <w:t xml:space="preserve">. Zaliczenie ewentualnych testów </w:t>
            </w:r>
            <w:r>
              <w:rPr>
                <w:rFonts w:asciiTheme="minorHAnsi" w:hAnsiTheme="minorHAnsi" w:cstheme="minorHAnsi"/>
                <w:lang w:eastAsia="en-US"/>
              </w:rPr>
              <w:t>lub quizów (</w:t>
            </w:r>
            <w:r w:rsidR="00062ECA">
              <w:rPr>
                <w:rFonts w:asciiTheme="minorHAnsi" w:hAnsiTheme="minorHAnsi" w:cstheme="minorHAnsi"/>
                <w:lang w:eastAsia="en-US"/>
              </w:rPr>
              <w:t>np</w:t>
            </w:r>
            <w:r>
              <w:rPr>
                <w:rFonts w:asciiTheme="minorHAnsi" w:hAnsiTheme="minorHAnsi" w:cstheme="minorHAnsi"/>
                <w:lang w:eastAsia="en-US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Kahoot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) </w:t>
            </w:r>
            <w:r w:rsidRPr="00F562AC">
              <w:rPr>
                <w:rFonts w:asciiTheme="minorHAnsi" w:hAnsiTheme="minorHAnsi" w:cstheme="minorHAnsi"/>
                <w:lang w:eastAsia="en-US"/>
              </w:rPr>
              <w:t xml:space="preserve">sprawdzających wiedzę. Realizacja projektu </w:t>
            </w:r>
            <w:r w:rsidR="008436D4">
              <w:rPr>
                <w:rFonts w:asciiTheme="minorHAnsi" w:hAnsiTheme="minorHAnsi" w:cstheme="minorHAnsi"/>
                <w:lang w:eastAsia="en-US"/>
              </w:rPr>
              <w:t xml:space="preserve">indywidualnego </w:t>
            </w:r>
            <w:r w:rsidRPr="00F562A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8436D4">
              <w:rPr>
                <w:rFonts w:asciiTheme="minorHAnsi" w:hAnsiTheme="minorHAnsi" w:cstheme="minorHAnsi"/>
                <w:lang w:eastAsia="en-US"/>
              </w:rPr>
              <w:t>i/lub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8436D4">
              <w:rPr>
                <w:rFonts w:asciiTheme="minorHAnsi" w:hAnsiTheme="minorHAnsi" w:cstheme="minorHAnsi"/>
                <w:lang w:eastAsia="en-US"/>
              </w:rPr>
              <w:t xml:space="preserve">grupowego </w:t>
            </w:r>
            <w:r w:rsidRPr="00F562AC">
              <w:rPr>
                <w:rFonts w:asciiTheme="minorHAnsi" w:hAnsiTheme="minorHAnsi" w:cstheme="minorHAnsi"/>
                <w:lang w:eastAsia="en-US"/>
              </w:rPr>
              <w:t>zadanego przez prowadzącego. Przedmiot kończy się zaliczeniem bez oceny.</w:t>
            </w:r>
          </w:p>
        </w:tc>
      </w:tr>
    </w:tbl>
    <w:p w14:paraId="054C89EC" w14:textId="5287A35F" w:rsidR="00303F50" w:rsidRDefault="00062ECA" w:rsidP="00B56EF9">
      <w:proofErr w:type="spellStart"/>
      <w:r>
        <w:t>Iczeń</w:t>
      </w:r>
      <w:proofErr w:type="spellEnd"/>
      <w:r>
        <w:t>)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0C83AF12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453D23D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7EB54E24" w14:textId="77777777" w:rsidR="00303F50" w:rsidRDefault="00303F50" w:rsidP="00FE79A6">
            <w:pPr>
              <w:pStyle w:val="Zawartotabeli"/>
            </w:pPr>
          </w:p>
        </w:tc>
      </w:tr>
    </w:tbl>
    <w:p w14:paraId="32DFFFE9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21D112F5" w14:textId="77777777" w:rsidTr="02D0933F">
        <w:trPr>
          <w:trHeight w:val="1136"/>
        </w:trPr>
        <w:tc>
          <w:tcPr>
            <w:tcW w:w="5000" w:type="pct"/>
            <w:vAlign w:val="center"/>
          </w:tcPr>
          <w:p w14:paraId="55BF0FAF" w14:textId="77777777" w:rsidR="00A61169" w:rsidRDefault="00A61169" w:rsidP="001644CB">
            <w:pPr>
              <w:rPr>
                <w:color w:val="000000"/>
              </w:rPr>
            </w:pPr>
          </w:p>
          <w:p w14:paraId="49D40FD3" w14:textId="667947A9" w:rsidR="008436D4" w:rsidRDefault="008436D4" w:rsidP="001644CB">
            <w:pPr>
              <w:rPr>
                <w:color w:val="000000"/>
              </w:rPr>
            </w:pPr>
            <w:r>
              <w:rPr>
                <w:color w:val="000000"/>
              </w:rPr>
              <w:t>Wykłady:</w:t>
            </w:r>
          </w:p>
          <w:p w14:paraId="5C488DEB" w14:textId="77777777" w:rsidR="00A61169" w:rsidRDefault="00A61169" w:rsidP="001644CB">
            <w:pPr>
              <w:rPr>
                <w:color w:val="000000"/>
              </w:rPr>
            </w:pPr>
          </w:p>
          <w:p w14:paraId="78DAF5EB" w14:textId="48A340BB" w:rsidR="00944509" w:rsidRPr="00944509" w:rsidRDefault="0056111E" w:rsidP="00607B9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</w:rPr>
            </w:pPr>
            <w:r w:rsidRPr="00944509">
              <w:rPr>
                <w:rFonts w:ascii="Segoe UI" w:hAnsi="Segoe UI" w:cs="Segoe UI"/>
                <w:sz w:val="21"/>
                <w:szCs w:val="21"/>
                <w:lang w:eastAsia="ja-JP"/>
              </w:rPr>
              <w:t xml:space="preserve">Omówienie podstawowych zasad uczestnictwa w kursie, warunków zaliczenia oraz struktury karty kursu. Przedstawienie projektów przewidzianych do realizacji w trakcie semestru. Zajęcia rozpoczynają się warsztatem integracyjnym, którego celem jest wzajemne poznanie się członków grupy, budowanie atmosfery współpracy i stworzenie przestrzeni do twórczej wymiany </w:t>
            </w:r>
            <w:proofErr w:type="spellStart"/>
            <w:r w:rsidRPr="00944509">
              <w:rPr>
                <w:rFonts w:ascii="Segoe UI" w:hAnsi="Segoe UI" w:cs="Segoe UI"/>
                <w:sz w:val="21"/>
                <w:szCs w:val="21"/>
                <w:lang w:eastAsia="ja-JP"/>
              </w:rPr>
              <w:t>myśli.</w:t>
            </w:r>
            <w:r w:rsidR="00ED16FD" w:rsidRPr="00944509">
              <w:rPr>
                <w:rFonts w:ascii="Segoe UI" w:hAnsi="Segoe UI" w:cs="Segoe UI"/>
                <w:sz w:val="21"/>
                <w:szCs w:val="21"/>
                <w:lang w:eastAsia="ja-JP"/>
              </w:rPr>
              <w:t>Terminologia</w:t>
            </w:r>
            <w:proofErr w:type="spellEnd"/>
            <w:r w:rsidR="00ED16FD" w:rsidRPr="00944509">
              <w:rPr>
                <w:rFonts w:ascii="Segoe UI" w:hAnsi="Segoe UI" w:cs="Segoe UI"/>
                <w:sz w:val="21"/>
                <w:szCs w:val="21"/>
                <w:lang w:eastAsia="ja-JP"/>
              </w:rPr>
              <w:t xml:space="preserve">: źródła inspiracji, inspiracja (semantyka inspiracji), nośniki inspiracji, czynniki kształtujące inspirację; rodzaje i typy inspiracji; omówienie </w:t>
            </w:r>
            <w:proofErr w:type="spellStart"/>
            <w:r w:rsidR="00ED16FD" w:rsidRPr="00944509">
              <w:rPr>
                <w:rFonts w:ascii="Segoe UI" w:hAnsi="Segoe UI" w:cs="Segoe UI"/>
                <w:sz w:val="21"/>
                <w:szCs w:val="21"/>
                <w:lang w:eastAsia="ja-JP"/>
              </w:rPr>
              <w:t>case</w:t>
            </w:r>
            <w:proofErr w:type="spellEnd"/>
            <w:r w:rsidR="00ED16FD" w:rsidRPr="00944509">
              <w:rPr>
                <w:rFonts w:ascii="Segoe UI" w:hAnsi="Segoe UI" w:cs="Segoe UI"/>
                <w:sz w:val="21"/>
                <w:szCs w:val="21"/>
                <w:lang w:eastAsia="ja-JP"/>
              </w:rPr>
              <w:t xml:space="preserve"> </w:t>
            </w:r>
            <w:proofErr w:type="spellStart"/>
            <w:r w:rsidR="00ED16FD" w:rsidRPr="00944509">
              <w:rPr>
                <w:rFonts w:ascii="Segoe UI" w:hAnsi="Segoe UI" w:cs="Segoe UI"/>
                <w:sz w:val="21"/>
                <w:szCs w:val="21"/>
                <w:lang w:eastAsia="ja-JP"/>
              </w:rPr>
              <w:t>study</w:t>
            </w:r>
            <w:proofErr w:type="spellEnd"/>
            <w:r w:rsidR="00ED16FD" w:rsidRPr="00944509">
              <w:rPr>
                <w:rFonts w:ascii="Segoe UI" w:hAnsi="Segoe UI" w:cs="Segoe UI"/>
                <w:sz w:val="21"/>
                <w:szCs w:val="21"/>
                <w:lang w:eastAsia="ja-JP"/>
              </w:rPr>
              <w:t xml:space="preserve"> (film KWK PROMES prezentujący proces projektowania oraz inspiracje powstania </w:t>
            </w:r>
            <w:r w:rsidR="00ED16FD" w:rsidRPr="00944509">
              <w:rPr>
                <w:rFonts w:ascii="Segoe UI" w:hAnsi="Segoe UI" w:cs="Segoe UI"/>
                <w:i/>
                <w:iCs/>
                <w:sz w:val="21"/>
                <w:szCs w:val="21"/>
                <w:lang w:eastAsia="ja-JP"/>
              </w:rPr>
              <w:t>Domu po drodze</w:t>
            </w:r>
            <w:r w:rsidR="00ED16FD" w:rsidRPr="00944509">
              <w:rPr>
                <w:rFonts w:ascii="Segoe UI" w:hAnsi="Segoe UI" w:cs="Segoe UI"/>
                <w:sz w:val="21"/>
                <w:szCs w:val="21"/>
                <w:lang w:eastAsia="ja-JP"/>
              </w:rPr>
              <w:t>) (</w:t>
            </w:r>
            <w:r w:rsidR="00062067">
              <w:rPr>
                <w:rFonts w:ascii="Segoe UI" w:hAnsi="Segoe UI" w:cs="Segoe UI"/>
                <w:sz w:val="21"/>
                <w:szCs w:val="21"/>
                <w:lang w:eastAsia="ja-JP"/>
              </w:rPr>
              <w:t>1</w:t>
            </w:r>
            <w:r w:rsidR="00ED16FD" w:rsidRPr="00944509">
              <w:rPr>
                <w:rFonts w:ascii="Segoe UI" w:hAnsi="Segoe UI" w:cs="Segoe UI"/>
                <w:sz w:val="21"/>
                <w:szCs w:val="21"/>
                <w:lang w:eastAsia="ja-JP"/>
              </w:rPr>
              <w:t>h)</w:t>
            </w:r>
          </w:p>
          <w:p w14:paraId="32B8EE35" w14:textId="573D4F9A" w:rsidR="00EC5543" w:rsidRPr="00EC5543" w:rsidRDefault="00EC5543" w:rsidP="00EC554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</w:rPr>
            </w:pPr>
            <w:r w:rsidRPr="00EC5543">
              <w:rPr>
                <w:rFonts w:asciiTheme="minorHAnsi" w:hAnsiTheme="minorHAnsi" w:cstheme="minorBidi"/>
              </w:rPr>
              <w:t xml:space="preserve">Wyjaśnienie kluczowych pojęć związanych z inspiracją: semantyka terminu, nośniki inspiracji, czynniki kształtujące proces twórczy, a także typologia i rodzaje inspiracji. Dyskusja oparta na studium przypadku – film KWK PROMES ukazujący proces projektowania oraz źródła inspiracji stojące za powstaniem projektu </w:t>
            </w:r>
            <w:r w:rsidRPr="00EC5543">
              <w:rPr>
                <w:rFonts w:asciiTheme="minorHAnsi" w:hAnsiTheme="minorHAnsi" w:cstheme="minorBidi"/>
                <w:i/>
                <w:iCs/>
              </w:rPr>
              <w:t>Domu po drodze</w:t>
            </w:r>
            <w:r w:rsidRPr="00EC5543">
              <w:rPr>
                <w:rFonts w:asciiTheme="minorHAnsi" w:hAnsiTheme="minorHAnsi" w:cstheme="minorBidi"/>
              </w:rPr>
              <w:t>.</w:t>
            </w:r>
            <w:r>
              <w:rPr>
                <w:rFonts w:asciiTheme="minorHAnsi" w:hAnsiTheme="minorHAnsi" w:cstheme="minorBidi"/>
              </w:rPr>
              <w:t xml:space="preserve"> (</w:t>
            </w:r>
            <w:r w:rsidR="00062067">
              <w:rPr>
                <w:rFonts w:asciiTheme="minorHAnsi" w:hAnsiTheme="minorHAnsi" w:cstheme="minorBidi"/>
              </w:rPr>
              <w:t>1</w:t>
            </w:r>
            <w:r>
              <w:rPr>
                <w:rFonts w:asciiTheme="minorHAnsi" w:hAnsiTheme="minorHAnsi" w:cstheme="minorBidi"/>
              </w:rPr>
              <w:t>h)</w:t>
            </w:r>
          </w:p>
          <w:p w14:paraId="49CE00ED" w14:textId="660975BB" w:rsidR="00944509" w:rsidRDefault="00EC5543" w:rsidP="00607B9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</w:rPr>
            </w:pPr>
            <w:r w:rsidRPr="00EC5543">
              <w:rPr>
                <w:rFonts w:asciiTheme="minorHAnsi" w:hAnsiTheme="minorHAnsi" w:cstheme="minorBidi"/>
              </w:rPr>
              <w:t>Prezentacja historii niezidentyfikowanej kobiety z XIX wieku, która stała się jednym z najbardziej rozpoznawalnych motywów inspiracyjnych w sztuce, architekturze i nauce. Analiza przykładów jej obecności w różnych dziedzinach twórczości. Zadanie cząstkowe: indywidualna praca studentów polegająca na wskazaniu i opisaniu wybranych inspiracji związanych z tym motywem.</w:t>
            </w:r>
            <w:r>
              <w:rPr>
                <w:rFonts w:asciiTheme="minorHAnsi" w:hAnsiTheme="minorHAnsi" w:cstheme="minorBidi"/>
              </w:rPr>
              <w:t xml:space="preserve"> (2h)</w:t>
            </w:r>
          </w:p>
          <w:p w14:paraId="64709C71" w14:textId="7567BD23" w:rsidR="00915E04" w:rsidRPr="00915E04" w:rsidRDefault="00915E04" w:rsidP="00647236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</w:rPr>
            </w:pPr>
            <w:r w:rsidRPr="00915E04">
              <w:rPr>
                <w:rFonts w:asciiTheme="minorHAnsi" w:hAnsiTheme="minorHAnsi" w:cstheme="minorBidi"/>
              </w:rPr>
              <w:t>Wykład poświęcony roli emocji jako jednego z najważniejszych źródeł inspiracji w twórczości artystycznej. Omówione zostaną przykłady, w których emocje – takie jak miłość, tęsknota, gniew, radość czy melancholia – stają się impulsem do powstania dzieł</w:t>
            </w:r>
            <w:r w:rsidRPr="00853EFE">
              <w:rPr>
                <w:rFonts w:asciiTheme="minorHAnsi" w:hAnsiTheme="minorHAnsi" w:cstheme="minorBidi"/>
              </w:rPr>
              <w:t>a muzycznego</w:t>
            </w:r>
            <w:r w:rsidRPr="00915E04">
              <w:rPr>
                <w:rFonts w:asciiTheme="minorHAnsi" w:hAnsiTheme="minorHAnsi" w:cstheme="minorBidi"/>
              </w:rPr>
              <w:t xml:space="preserve">. </w:t>
            </w:r>
            <w:r w:rsidR="00853EFE" w:rsidRPr="00853EFE">
              <w:rPr>
                <w:rFonts w:asciiTheme="minorHAnsi" w:hAnsiTheme="minorHAnsi" w:cstheme="minorBidi"/>
              </w:rPr>
              <w:t>W</w:t>
            </w:r>
            <w:r w:rsidRPr="00915E04">
              <w:rPr>
                <w:rFonts w:asciiTheme="minorHAnsi" w:hAnsiTheme="minorHAnsi" w:cstheme="minorBidi"/>
              </w:rPr>
              <w:t xml:space="preserve"> jaki sposób emocje są przekształcane w formy estetyczne i komunikacyjne</w:t>
            </w:r>
            <w:r w:rsidR="00853EFE" w:rsidRPr="00853EFE">
              <w:rPr>
                <w:rFonts w:asciiTheme="minorHAnsi" w:hAnsiTheme="minorHAnsi" w:cstheme="minorBidi"/>
              </w:rPr>
              <w:t xml:space="preserve">? </w:t>
            </w:r>
            <w:r w:rsidRPr="00915E04">
              <w:rPr>
                <w:rFonts w:asciiTheme="minorHAnsi" w:hAnsiTheme="minorHAnsi" w:cstheme="minorBidi"/>
              </w:rPr>
              <w:t xml:space="preserve">Na przykładzie utworu muzycznego </w:t>
            </w:r>
            <w:proofErr w:type="spellStart"/>
            <w:r w:rsidRPr="00915E04">
              <w:rPr>
                <w:rFonts w:asciiTheme="minorHAnsi" w:hAnsiTheme="minorHAnsi" w:cstheme="minorBidi"/>
                <w:i/>
                <w:iCs/>
              </w:rPr>
              <w:t>Layla</w:t>
            </w:r>
            <w:proofErr w:type="spellEnd"/>
            <w:r w:rsidRPr="00915E04">
              <w:rPr>
                <w:rFonts w:asciiTheme="minorHAnsi" w:hAnsiTheme="minorHAnsi" w:cstheme="minorBidi"/>
              </w:rPr>
              <w:t xml:space="preserve"> (</w:t>
            </w:r>
            <w:proofErr w:type="spellStart"/>
            <w:r w:rsidRPr="00915E04">
              <w:rPr>
                <w:rFonts w:asciiTheme="minorHAnsi" w:hAnsiTheme="minorHAnsi" w:cstheme="minorBidi"/>
              </w:rPr>
              <w:t>Eric</w:t>
            </w:r>
            <w:proofErr w:type="spellEnd"/>
            <w:r w:rsidRPr="00915E04">
              <w:rPr>
                <w:rFonts w:asciiTheme="minorHAnsi" w:hAnsiTheme="minorHAnsi" w:cstheme="minorBidi"/>
              </w:rPr>
              <w:t xml:space="preserve"> Clapton, Derek and the </w:t>
            </w:r>
            <w:proofErr w:type="spellStart"/>
            <w:r w:rsidRPr="00915E04">
              <w:rPr>
                <w:rFonts w:asciiTheme="minorHAnsi" w:hAnsiTheme="minorHAnsi" w:cstheme="minorBidi"/>
              </w:rPr>
              <w:t>Dominos</w:t>
            </w:r>
            <w:proofErr w:type="spellEnd"/>
            <w:r w:rsidRPr="00915E04">
              <w:rPr>
                <w:rFonts w:asciiTheme="minorHAnsi" w:hAnsiTheme="minorHAnsi" w:cstheme="minorBidi"/>
              </w:rPr>
              <w:t xml:space="preserve">) </w:t>
            </w:r>
            <w:r w:rsidR="00625145">
              <w:rPr>
                <w:rFonts w:asciiTheme="minorHAnsi" w:hAnsiTheme="minorHAnsi" w:cstheme="minorBidi"/>
              </w:rPr>
              <w:t>wskazanie</w:t>
            </w:r>
            <w:r w:rsidRPr="00915E04">
              <w:rPr>
                <w:rFonts w:asciiTheme="minorHAnsi" w:hAnsiTheme="minorHAnsi" w:cstheme="minorBidi"/>
              </w:rPr>
              <w:t>, jak osobiste doświadczenie emocjonalne artysty – niespełniona miłość – może zostać przełożone na język muzyki i stać się uniwersalnym motywem kulturowym. Utwór posłuży jako studium przypadku ukazujące mechanizm transformacji emocji w dzieło sztuki, które zyskuje ponadczasowy charakter i oddziałuje na odbiorców w różnych kontekstach kulturowych.</w:t>
            </w:r>
            <w:r w:rsidRPr="00853EFE">
              <w:rPr>
                <w:rFonts w:asciiTheme="minorHAnsi" w:hAnsiTheme="minorHAnsi" w:cstheme="minorBidi"/>
              </w:rPr>
              <w:t xml:space="preserve"> (</w:t>
            </w:r>
            <w:r w:rsidR="007B28CD">
              <w:rPr>
                <w:rFonts w:asciiTheme="minorHAnsi" w:hAnsiTheme="minorHAnsi" w:cstheme="minorBidi"/>
              </w:rPr>
              <w:t>3</w:t>
            </w:r>
            <w:r w:rsidRPr="00853EFE">
              <w:rPr>
                <w:rFonts w:asciiTheme="minorHAnsi" w:hAnsiTheme="minorHAnsi" w:cstheme="minorBidi"/>
              </w:rPr>
              <w:t>h)</w:t>
            </w:r>
          </w:p>
          <w:p w14:paraId="6B0D8573" w14:textId="3CCB3F68" w:rsidR="00116541" w:rsidRPr="00116541" w:rsidRDefault="00116541" w:rsidP="00116541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Bidi"/>
              </w:rPr>
            </w:pPr>
            <w:r w:rsidRPr="00116541">
              <w:rPr>
                <w:rFonts w:asciiTheme="minorHAnsi" w:hAnsiTheme="minorHAnsi" w:cstheme="minorBidi"/>
              </w:rPr>
              <w:t xml:space="preserve">Wykład poświęcony jest analizie wpływu tańca klasycznego na różnorodne obszary twórczości artystycznej i kulturowej. Omówione zostaną przykłady, w których taniec – jako forma ekspresji ciała i emocji – staje się źródłem inspiracji dla sztuki scenicznej, mody, filmu oraz teledysków muzycznych. </w:t>
            </w:r>
            <w:r w:rsidRPr="00116541">
              <w:rPr>
                <w:rFonts w:asciiTheme="minorHAnsi" w:hAnsiTheme="minorHAnsi" w:cstheme="minorBidi"/>
              </w:rPr>
              <w:lastRenderedPageBreak/>
              <w:t>Szczególną uwagę zwrócono na to, jak elementy techniki baletowej, estetyki ruchu i symboliki tańca są przekształcane w nowe formy wyrazu artystycznego, a następnie adaptowane do współczesnych projektów kulturowych.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0116541">
              <w:rPr>
                <w:rFonts w:asciiTheme="minorHAnsi" w:hAnsiTheme="minorHAnsi" w:cstheme="minorBidi"/>
              </w:rPr>
              <w:t>Podczas zajęć wskazane zostaną konkretne przykłady dzieł, w których taniec klasyczny stanowi punkt wyjścia do tworzenia innowacyjnych rozwiązań – od spektakli teatralnych i operowych, przez kolekcje modowe inspirowane baletem, aż po filmowe narracje i teledyski muzyczne, w których ruch sceniczny pełni funkcję metafory emocji i dynamiki przekazu. Analiza obejmie zarówno klasyczne realizacje, jak i współczesne reinterpretacje, ukazując, że taniec klasyczny nie jest jedynie tradycyjną formą sztuki, lecz także żywym źródłem inspiracji dla projektów w różnych obszarach kultury.</w:t>
            </w:r>
            <w:r>
              <w:rPr>
                <w:rFonts w:asciiTheme="minorHAnsi" w:hAnsiTheme="minorHAnsi" w:cstheme="minorBidi"/>
              </w:rPr>
              <w:t xml:space="preserve"> (</w:t>
            </w:r>
            <w:r w:rsidR="001E4062">
              <w:rPr>
                <w:rFonts w:asciiTheme="minorHAnsi" w:hAnsiTheme="minorHAnsi" w:cstheme="minorBidi"/>
              </w:rPr>
              <w:t>3</w:t>
            </w:r>
            <w:r>
              <w:rPr>
                <w:rFonts w:asciiTheme="minorHAnsi" w:hAnsiTheme="minorHAnsi" w:cstheme="minorBidi"/>
              </w:rPr>
              <w:t>h)</w:t>
            </w:r>
          </w:p>
          <w:p w14:paraId="5AE537C2" w14:textId="77777777" w:rsidR="00A61169" w:rsidRPr="00116541" w:rsidRDefault="00A61169" w:rsidP="00116541">
            <w:pPr>
              <w:pStyle w:val="Akapitzlist"/>
              <w:jc w:val="both"/>
              <w:rPr>
                <w:rFonts w:asciiTheme="minorHAnsi" w:hAnsiTheme="minorHAnsi" w:cstheme="minorBidi"/>
              </w:rPr>
            </w:pPr>
          </w:p>
          <w:p w14:paraId="3E20C3B3" w14:textId="4230B243" w:rsidR="001644CB" w:rsidRPr="008436D4" w:rsidRDefault="001644CB" w:rsidP="008436D4">
            <w:pPr>
              <w:pStyle w:val="Akapitzlist"/>
              <w:rPr>
                <w:rFonts w:asciiTheme="minorHAnsi" w:hAnsiTheme="minorHAnsi" w:cstheme="minorHAnsi"/>
              </w:rPr>
            </w:pPr>
            <w:r w:rsidRPr="008436D4">
              <w:rPr>
                <w:rFonts w:asciiTheme="minorHAnsi" w:hAnsiTheme="minorHAnsi" w:cstheme="minorHAnsi"/>
              </w:rPr>
              <w:t>Ćwiczenia:</w:t>
            </w:r>
          </w:p>
          <w:p w14:paraId="0A007795" w14:textId="77777777" w:rsidR="001644CB" w:rsidRDefault="001644CB" w:rsidP="001644CB">
            <w:pPr>
              <w:rPr>
                <w:rFonts w:asciiTheme="minorHAnsi" w:hAnsiTheme="minorHAnsi" w:cstheme="minorHAnsi"/>
              </w:rPr>
            </w:pPr>
          </w:p>
          <w:p w14:paraId="34638B34" w14:textId="140787E8" w:rsidR="00A61169" w:rsidRPr="003375AF" w:rsidRDefault="00A61169" w:rsidP="003375AF">
            <w:pPr>
              <w:pStyle w:val="NormalnyWeb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1169">
              <w:rPr>
                <w:color w:val="000000"/>
                <w:sz w:val="22"/>
                <w:szCs w:val="22"/>
              </w:rPr>
              <w:t>1-</w:t>
            </w:r>
            <w:r w:rsidRPr="003375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  <w:r w:rsidR="006E5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E5D64" w:rsidRPr="006E5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Pierwsze spotkania mają charakter organizacyjno</w:t>
            </w:r>
            <w:r w:rsidR="006E5D64" w:rsidRPr="006E5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noBreakHyphen/>
              <w:t>merytoryczny. Studenci zapoznają się z warunkami zaliczenia przedmiotu, zasadami pracy podczas ćwiczeń oraz wymaganiami dotyczącymi aktywności i realizacji zadań. Omówione zostają metody dydaktyczne stosowane w trakcie kursu, a także cele treningu twórczości. Wprowadzenie obejmuje krótką charakterystykę podstawowych pojęć związanych z kreatywnością, inspiracją i procesem twórczym, co stanowi fundament dla dalszych zajęć praktycznych.</w:t>
            </w:r>
          </w:p>
          <w:p w14:paraId="507CBE00" w14:textId="333DEC18" w:rsidR="00B7051B" w:rsidRPr="003375AF" w:rsidRDefault="00A61169" w:rsidP="003375AF">
            <w:pPr>
              <w:pStyle w:val="NormalnyWeb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75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3-4.</w:t>
            </w:r>
            <w:r w:rsidR="00033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33741" w:rsidRPr="00033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kolejnych ćwiczeniach studenci uczestniczą w treningu myślenia twórczego. Na konkretnych przykładach testują różnorodne techniki stymulowania intelektualnego procesu twórczego – od prostych metod generowania pomysłów, przez techniki asocjacyjne, po bardziej złożone strategie pracy z obrazem i słowem. Zajęcia mają charakter praktyczny: uczestnicy samodzielnie sprawdzają skuteczność poszczególnych metod, analizują ich przydatność w różnych kontekstach projektowych i komunikacyjnych oraz uczą się świadomie dobierać narzędzia kreatywne do określonych zadań.</w:t>
            </w:r>
            <w:r w:rsidR="000337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(4h)</w:t>
            </w:r>
          </w:p>
          <w:p w14:paraId="64FFA304" w14:textId="328EE114" w:rsidR="007830A8" w:rsidRPr="007830A8" w:rsidRDefault="00A61169" w:rsidP="007830A8">
            <w:pPr>
              <w:pStyle w:val="NormalnyWeb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75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5-6. </w:t>
            </w:r>
            <w:r w:rsidR="007830A8" w:rsidRPr="007830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Ostatni blok ćwiczeń koncentruje się na pracy zespołowej. Studenci w grupach podejmują się rozwiązywania problemów projektowych z wykorzystaniem słowa i obrazu. Ćwiczenia rozwijają umiejętność współpracy, łączenia różnych perspektyw oraz twórczego integrowania pomysłów w spójne koncepcje. Praca grupowa pozwala na praktyczne zastosowanie wcześniej poznanych technik kreatywnego myślenia, a także na doświadczenie procesu twórczego w warunkach symulujących realne zadania projektowe.</w:t>
            </w:r>
            <w:r w:rsidR="007830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(4h)</w:t>
            </w:r>
          </w:p>
          <w:p w14:paraId="5669543A" w14:textId="3E1DC318" w:rsidR="00303F50" w:rsidRDefault="00303F50" w:rsidP="007830A8">
            <w:pPr>
              <w:pStyle w:val="NormalnyWeb"/>
              <w:ind w:left="720"/>
              <w:jc w:val="both"/>
            </w:pPr>
          </w:p>
        </w:tc>
      </w:tr>
    </w:tbl>
    <w:p w14:paraId="6CD10B55" w14:textId="77777777" w:rsidR="00303F50" w:rsidRDefault="00303F50" w:rsidP="00B56EF9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853914" w14:paraId="3B0C792D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052E9BA9" w14:textId="77777777" w:rsid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</w:pPr>
            <w:proofErr w:type="spellStart"/>
            <w:r>
              <w:t>Bennewicz</w:t>
            </w:r>
            <w:proofErr w:type="spellEnd"/>
            <w:r>
              <w:t xml:space="preserve"> M., </w:t>
            </w:r>
            <w:r>
              <w:rPr>
                <w:rStyle w:val="Uwydatnienie"/>
              </w:rPr>
              <w:t>Coaching, kreatywność, zabawa: narzędzia rozwoju dla pasjonatów i profesjonalistów</w:t>
            </w:r>
            <w:r>
              <w:t>. Gliwice 2014</w:t>
            </w:r>
          </w:p>
          <w:p w14:paraId="6816441C" w14:textId="77777777" w:rsid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</w:pPr>
            <w:r>
              <w:t xml:space="preserve">Biela A., </w:t>
            </w:r>
            <w:r>
              <w:rPr>
                <w:rStyle w:val="Uwydatnienie"/>
              </w:rPr>
              <w:t>Trening kreatywności. Jak pobudzić twórcze myślenie</w:t>
            </w:r>
            <w:r>
              <w:t>. Warszawa 2015</w:t>
            </w:r>
          </w:p>
          <w:p w14:paraId="393FDC56" w14:textId="77777777" w:rsidR="00853914" w:rsidRP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  <w:rPr>
                <w:lang w:val="en-GB"/>
              </w:rPr>
            </w:pPr>
            <w:r w:rsidRPr="00853914">
              <w:rPr>
                <w:lang w:val="en-GB"/>
              </w:rPr>
              <w:t xml:space="preserve">Brown N., Ince A., </w:t>
            </w:r>
            <w:proofErr w:type="spellStart"/>
            <w:r w:rsidRPr="00853914">
              <w:rPr>
                <w:lang w:val="en-GB"/>
              </w:rPr>
              <w:t>Ramlackhan</w:t>
            </w:r>
            <w:proofErr w:type="spellEnd"/>
            <w:r w:rsidRPr="00853914">
              <w:rPr>
                <w:lang w:val="en-GB"/>
              </w:rPr>
              <w:t xml:space="preserve"> K. (red.), </w:t>
            </w:r>
            <w:r w:rsidRPr="00853914">
              <w:rPr>
                <w:rStyle w:val="Uwydatnienie"/>
                <w:lang w:val="en-GB"/>
              </w:rPr>
              <w:t>Creativity in Education: International Perspectives</w:t>
            </w:r>
            <w:r w:rsidRPr="00853914">
              <w:rPr>
                <w:lang w:val="en-GB"/>
              </w:rPr>
              <w:t xml:space="preserve">. UCL Press, 2024. </w:t>
            </w:r>
            <w:proofErr w:type="spellStart"/>
            <w:r w:rsidRPr="00853914">
              <w:rPr>
                <w:lang w:val="en-GB"/>
              </w:rPr>
              <w:t>Dostęp</w:t>
            </w:r>
            <w:proofErr w:type="spellEnd"/>
            <w:r w:rsidRPr="00853914">
              <w:rPr>
                <w:lang w:val="en-GB"/>
              </w:rPr>
              <w:t xml:space="preserve"> online: </w:t>
            </w:r>
            <w:hyperlink r:id="rId10" w:history="1">
              <w:r w:rsidRPr="00853914">
                <w:rPr>
                  <w:rStyle w:val="Hipercze"/>
                  <w:lang w:val="en-GB"/>
                </w:rPr>
                <w:t>https://uclpress.co.uk/book/creativity-in-education/</w:t>
              </w:r>
            </w:hyperlink>
          </w:p>
          <w:p w14:paraId="61F493E0" w14:textId="77777777" w:rsid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</w:pPr>
            <w:proofErr w:type="spellStart"/>
            <w:r>
              <w:t>Catmull</w:t>
            </w:r>
            <w:proofErr w:type="spellEnd"/>
            <w:r>
              <w:t xml:space="preserve"> E., </w:t>
            </w:r>
            <w:proofErr w:type="spellStart"/>
            <w:r>
              <w:t>Wallace</w:t>
            </w:r>
            <w:proofErr w:type="spellEnd"/>
            <w:r>
              <w:t xml:space="preserve"> A., </w:t>
            </w:r>
            <w:r>
              <w:rPr>
                <w:rStyle w:val="Uwydatnienie"/>
              </w:rPr>
              <w:t>Kreatywność S.A.: droga do prawdziwej inspiracji</w:t>
            </w:r>
            <w:r>
              <w:t>. Warszawa 2015</w:t>
            </w:r>
          </w:p>
          <w:p w14:paraId="7ED9E0E5" w14:textId="77777777" w:rsidR="00853914" w:rsidRP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  <w:rPr>
                <w:lang w:val="en-GB"/>
              </w:rPr>
            </w:pPr>
            <w:r w:rsidRPr="00853914">
              <w:rPr>
                <w:lang w:val="en-GB"/>
              </w:rPr>
              <w:t xml:space="preserve">González-Zamar M.-D., Abad-Segura E., </w:t>
            </w:r>
            <w:r w:rsidRPr="00853914">
              <w:rPr>
                <w:rStyle w:val="Uwydatnienie"/>
                <w:lang w:val="en-GB"/>
              </w:rPr>
              <w:t>Emotional Creativity in Art Education: An Exploratory Analysis and Research Trends</w:t>
            </w:r>
            <w:r w:rsidRPr="00853914">
              <w:rPr>
                <w:lang w:val="en-GB"/>
              </w:rPr>
              <w:t xml:space="preserve">. </w:t>
            </w:r>
            <w:r w:rsidRPr="00853914">
              <w:rPr>
                <w:rStyle w:val="Uwydatnienie"/>
                <w:lang w:val="en-GB"/>
              </w:rPr>
              <w:t>International Journal of Environmental Research and Public Health</w:t>
            </w:r>
            <w:r w:rsidRPr="00853914">
              <w:rPr>
                <w:lang w:val="en-GB"/>
              </w:rPr>
              <w:t xml:space="preserve">, 2021. </w:t>
            </w:r>
            <w:proofErr w:type="spellStart"/>
            <w:r w:rsidRPr="00853914">
              <w:rPr>
                <w:lang w:val="en-GB"/>
              </w:rPr>
              <w:t>Dostęp</w:t>
            </w:r>
            <w:proofErr w:type="spellEnd"/>
            <w:r w:rsidRPr="00853914">
              <w:rPr>
                <w:lang w:val="en-GB"/>
              </w:rPr>
              <w:t xml:space="preserve"> online: </w:t>
            </w:r>
            <w:hyperlink r:id="rId11" w:history="1">
              <w:r w:rsidRPr="00853914">
                <w:rPr>
                  <w:rStyle w:val="Hipercze"/>
                  <w:lang w:val="en-GB"/>
                </w:rPr>
                <w:t>https://www.researchgate.net/publication/352241185_Emotional_Creativity_in_Art_Education_An_Exploratory_Analysis_and_Research_Trends/fulltext/60c05217299bf1e6b71bba9c/Emotional-Creativity-in-Art-Education-An-Exploratory-Analysis-and-Research-Trends.pdf</w:t>
              </w:r>
            </w:hyperlink>
          </w:p>
          <w:p w14:paraId="0795C04F" w14:textId="77777777" w:rsid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</w:pPr>
            <w:r>
              <w:t xml:space="preserve">Heller S., </w:t>
            </w:r>
            <w:proofErr w:type="spellStart"/>
            <w:r>
              <w:t>Ilić</w:t>
            </w:r>
            <w:proofErr w:type="spellEnd"/>
            <w:r>
              <w:t xml:space="preserve"> C., </w:t>
            </w:r>
            <w:r>
              <w:rPr>
                <w:rStyle w:val="Uwydatnienie"/>
              </w:rPr>
              <w:t>Anatomia projektu: współczesne projektowanie graficzne – wpływy i inspiracje</w:t>
            </w:r>
            <w:r>
              <w:t>. Warszawa 2008</w:t>
            </w:r>
          </w:p>
          <w:p w14:paraId="16FF47C8" w14:textId="77777777" w:rsid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</w:pPr>
            <w:proofErr w:type="spellStart"/>
            <w:r>
              <w:lastRenderedPageBreak/>
              <w:t>Kosieradzka</w:t>
            </w:r>
            <w:proofErr w:type="spellEnd"/>
            <w:r>
              <w:t xml:space="preserve"> A. (red.), </w:t>
            </w:r>
            <w:r>
              <w:rPr>
                <w:rStyle w:val="Uwydatnienie"/>
              </w:rPr>
              <w:t>Metody i techniki pobudzania kreatywności w organizacji i zarządzaniu</w:t>
            </w:r>
            <w:r>
              <w:t>. Warszawa 2013</w:t>
            </w:r>
          </w:p>
          <w:p w14:paraId="5A717628" w14:textId="77777777" w:rsid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</w:pPr>
            <w:proofErr w:type="spellStart"/>
            <w:r>
              <w:t>Łaszczyk</w:t>
            </w:r>
            <w:proofErr w:type="spellEnd"/>
            <w:r>
              <w:t xml:space="preserve"> J. [et al.], </w:t>
            </w:r>
            <w:r>
              <w:rPr>
                <w:rStyle w:val="Uwydatnienie"/>
              </w:rPr>
              <w:t>Trening twórczości z komputerem</w:t>
            </w:r>
            <w:r>
              <w:t>. Warszawa 2012</w:t>
            </w:r>
          </w:p>
          <w:p w14:paraId="4DCEC6B4" w14:textId="77777777" w:rsid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</w:pPr>
            <w:proofErr w:type="spellStart"/>
            <w:r>
              <w:t>Nęcka</w:t>
            </w:r>
            <w:proofErr w:type="spellEnd"/>
            <w:r>
              <w:t xml:space="preserve"> E., </w:t>
            </w:r>
            <w:r>
              <w:rPr>
                <w:rStyle w:val="Uwydatnienie"/>
              </w:rPr>
              <w:t>Trening twórczości</w:t>
            </w:r>
            <w:r>
              <w:t>. Sopot 2012</w:t>
            </w:r>
          </w:p>
          <w:p w14:paraId="10A9CFFE" w14:textId="77777777" w:rsid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</w:pPr>
            <w:r w:rsidRPr="00853914">
              <w:rPr>
                <w:lang w:val="en-GB"/>
              </w:rPr>
              <w:t xml:space="preserve">Samaniego M., </w:t>
            </w:r>
            <w:proofErr w:type="spellStart"/>
            <w:r w:rsidRPr="00853914">
              <w:rPr>
                <w:lang w:val="en-GB"/>
              </w:rPr>
              <w:t>Usca</w:t>
            </w:r>
            <w:proofErr w:type="spellEnd"/>
            <w:r w:rsidRPr="00853914">
              <w:rPr>
                <w:lang w:val="en-GB"/>
              </w:rPr>
              <w:t xml:space="preserve"> N., Salguero J., Quevedo W., </w:t>
            </w:r>
            <w:r w:rsidRPr="00853914">
              <w:rPr>
                <w:rStyle w:val="Uwydatnienie"/>
                <w:lang w:val="en-GB"/>
              </w:rPr>
              <w:t>Creative Thinking in Art and Design Education: A Systematic Review</w:t>
            </w:r>
            <w:r w:rsidRPr="00853914">
              <w:rPr>
                <w:lang w:val="en-GB"/>
              </w:rPr>
              <w:t xml:space="preserve">. </w:t>
            </w:r>
            <w:proofErr w:type="spellStart"/>
            <w:r>
              <w:rPr>
                <w:rStyle w:val="Uwydatnienie"/>
              </w:rPr>
              <w:t>Education</w:t>
            </w:r>
            <w:proofErr w:type="spellEnd"/>
            <w:r>
              <w:rPr>
                <w:rStyle w:val="Uwydatnienie"/>
              </w:rPr>
              <w:t xml:space="preserve"> </w:t>
            </w:r>
            <w:proofErr w:type="spellStart"/>
            <w:r>
              <w:rPr>
                <w:rStyle w:val="Uwydatnienie"/>
              </w:rPr>
              <w:t>Sciences</w:t>
            </w:r>
            <w:proofErr w:type="spellEnd"/>
            <w:r>
              <w:t xml:space="preserve">, 2024. Dostęp online: </w:t>
            </w:r>
            <w:hyperlink r:id="rId12" w:history="1">
              <w:r>
                <w:rPr>
                  <w:rStyle w:val="Hipercze"/>
                </w:rPr>
                <w:t>https://www.mdpi.com/2227-7102/14/2/192</w:t>
              </w:r>
            </w:hyperlink>
          </w:p>
          <w:p w14:paraId="5D9D0CA0" w14:textId="77777777" w:rsidR="00853914" w:rsidRP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  <w:rPr>
                <w:lang w:val="en-GB"/>
              </w:rPr>
            </w:pPr>
            <w:r w:rsidRPr="00853914">
              <w:rPr>
                <w:lang w:val="en-GB"/>
              </w:rPr>
              <w:t xml:space="preserve">Sio U.N., Lortie-Forgues H., </w:t>
            </w:r>
            <w:r w:rsidRPr="00853914">
              <w:rPr>
                <w:rStyle w:val="Uwydatnienie"/>
                <w:lang w:val="en-GB"/>
              </w:rPr>
              <w:t>The impact of creativity training on creative performance: A meta-analytic review of five decades of studies</w:t>
            </w:r>
            <w:r w:rsidRPr="00853914">
              <w:rPr>
                <w:lang w:val="en-GB"/>
              </w:rPr>
              <w:t xml:space="preserve">. </w:t>
            </w:r>
            <w:r w:rsidRPr="00853914">
              <w:rPr>
                <w:rStyle w:val="Uwydatnienie"/>
                <w:lang w:val="en-GB"/>
              </w:rPr>
              <w:t>Psychological Bulletin</w:t>
            </w:r>
            <w:r w:rsidRPr="00853914">
              <w:rPr>
                <w:lang w:val="en-GB"/>
              </w:rPr>
              <w:t xml:space="preserve">, 2024. </w:t>
            </w:r>
            <w:proofErr w:type="spellStart"/>
            <w:r w:rsidRPr="00853914">
              <w:rPr>
                <w:lang w:val="en-GB"/>
              </w:rPr>
              <w:t>Dostęp</w:t>
            </w:r>
            <w:proofErr w:type="spellEnd"/>
            <w:r w:rsidRPr="00853914">
              <w:rPr>
                <w:lang w:val="en-GB"/>
              </w:rPr>
              <w:t xml:space="preserve"> online: </w:t>
            </w:r>
            <w:hyperlink r:id="rId13" w:history="1">
              <w:r w:rsidRPr="00853914">
                <w:rPr>
                  <w:rStyle w:val="Hipercze"/>
                  <w:lang w:val="en-GB"/>
                </w:rPr>
                <w:t>https://eprints.whiterose.ac.uk/id/eprint/209749/1/Meta_Creativity_Training_accepted_pre_format_version.pdf</w:t>
              </w:r>
            </w:hyperlink>
          </w:p>
          <w:p w14:paraId="6CFA4FA8" w14:textId="77777777" w:rsidR="00853914" w:rsidRDefault="00853914" w:rsidP="00853914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/>
              <w:spacing w:before="100" w:beforeAutospacing="1" w:after="100" w:afterAutospacing="1"/>
            </w:pPr>
            <w:r>
              <w:t xml:space="preserve">Szczeklik A., </w:t>
            </w:r>
            <w:r>
              <w:rPr>
                <w:rStyle w:val="Uwydatnienie"/>
              </w:rPr>
              <w:t>Kore. O chorych, chorobach i poszukiwaniu duszy medycyny</w:t>
            </w:r>
            <w:r>
              <w:t>. Kraków 2007</w:t>
            </w:r>
          </w:p>
          <w:p w14:paraId="1DD85986" w14:textId="35FB814A" w:rsidR="00853914" w:rsidRPr="00853914" w:rsidRDefault="00853914" w:rsidP="00853914">
            <w:pPr>
              <w:pStyle w:val="Akapitzlist"/>
              <w:numPr>
                <w:ilvl w:val="0"/>
                <w:numId w:val="21"/>
              </w:numPr>
              <w:jc w:val="both"/>
            </w:pPr>
            <w:proofErr w:type="spellStart"/>
            <w:r w:rsidRPr="00853914">
              <w:t>Szmidt</w:t>
            </w:r>
            <w:proofErr w:type="spellEnd"/>
            <w:r w:rsidRPr="00853914">
              <w:t xml:space="preserve"> K., </w:t>
            </w:r>
            <w:r w:rsidRPr="00853914">
              <w:rPr>
                <w:i/>
                <w:iCs/>
              </w:rPr>
              <w:t>Pedagogika twórczości</w:t>
            </w:r>
            <w:r w:rsidRPr="00853914">
              <w:t>. Sopot 2013</w:t>
            </w:r>
          </w:p>
          <w:p w14:paraId="2AAC9CEA" w14:textId="6E5A7F82" w:rsidR="00303F50" w:rsidRPr="00853914" w:rsidRDefault="00303F50" w:rsidP="00853914">
            <w:pPr>
              <w:pStyle w:val="Akapitzlist"/>
              <w:jc w:val="both"/>
            </w:pPr>
          </w:p>
        </w:tc>
      </w:tr>
    </w:tbl>
    <w:p w14:paraId="689187B7" w14:textId="77777777" w:rsidR="00303F50" w:rsidRDefault="00303F50" w:rsidP="00B56EF9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062067" w14:paraId="3A14A58B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601FF225" w14:textId="77777777" w:rsidR="00D50E30" w:rsidRDefault="00D50E30" w:rsidP="00D50E30">
            <w:pPr>
              <w:widowControl/>
              <w:numPr>
                <w:ilvl w:val="0"/>
                <w:numId w:val="9"/>
              </w:numPr>
              <w:suppressAutoHyphens w:val="0"/>
              <w:autoSpaceDE/>
              <w:spacing w:before="100" w:beforeAutospacing="1" w:after="100" w:afterAutospacing="1"/>
            </w:pPr>
            <w:proofErr w:type="spellStart"/>
            <w:r>
              <w:t>Gawrycki</w:t>
            </w:r>
            <w:proofErr w:type="spellEnd"/>
            <w:r>
              <w:t xml:space="preserve"> M., </w:t>
            </w:r>
            <w:r>
              <w:rPr>
                <w:rStyle w:val="Uwydatnienie"/>
              </w:rPr>
              <w:t>Uwikłane obrazy. Hollywoodzki film a stosunki międzynarodowe</w:t>
            </w:r>
            <w:r>
              <w:t xml:space="preserve">. Wydawnictwo Uniwersytetu Warszawskiego, Warszawa 2011, rozdz. IV </w:t>
            </w:r>
            <w:r>
              <w:rPr>
                <w:rStyle w:val="Uwydatnienie"/>
              </w:rPr>
              <w:t>Hollywoodzkie widzenie świata</w:t>
            </w:r>
            <w:r>
              <w:t>, s. 114–152.</w:t>
            </w:r>
          </w:p>
          <w:p w14:paraId="44996F46" w14:textId="77777777" w:rsidR="00D50E30" w:rsidRDefault="00D50E30" w:rsidP="00D50E30">
            <w:pPr>
              <w:widowControl/>
              <w:numPr>
                <w:ilvl w:val="0"/>
                <w:numId w:val="9"/>
              </w:numPr>
              <w:suppressAutoHyphens w:val="0"/>
              <w:autoSpaceDE/>
              <w:spacing w:before="100" w:beforeAutospacing="1" w:after="100" w:afterAutospacing="1"/>
            </w:pPr>
            <w:r>
              <w:t xml:space="preserve">Kargul J., </w:t>
            </w:r>
            <w:r>
              <w:rPr>
                <w:rStyle w:val="Uwydatnienie"/>
              </w:rPr>
              <w:t>Upowszechnianie, animacja, komercjalizacja kultury. Podręcznik akademicki</w:t>
            </w:r>
            <w:r>
              <w:t xml:space="preserve">. Wydawnictwo Naukowe PWN, Warszawa 2012, cz. III </w:t>
            </w:r>
            <w:r>
              <w:rPr>
                <w:rStyle w:val="Uwydatnienie"/>
              </w:rPr>
              <w:t>Supermarket kultury w dobie dominującej idei komercjalizmu i indywidualizmu</w:t>
            </w:r>
            <w:r>
              <w:t>, s. 205–346.</w:t>
            </w:r>
          </w:p>
          <w:p w14:paraId="4D4EB79B" w14:textId="77777777" w:rsidR="00D50E30" w:rsidRDefault="00D50E30" w:rsidP="00D50E30">
            <w:pPr>
              <w:widowControl/>
              <w:numPr>
                <w:ilvl w:val="0"/>
                <w:numId w:val="9"/>
              </w:numPr>
              <w:suppressAutoHyphens w:val="0"/>
              <w:autoSpaceDE/>
              <w:spacing w:before="100" w:beforeAutospacing="1" w:after="100" w:afterAutospacing="1"/>
            </w:pPr>
            <w:r>
              <w:t xml:space="preserve">Markiewicz H., </w:t>
            </w:r>
            <w:r>
              <w:rPr>
                <w:rStyle w:val="Uwydatnienie"/>
              </w:rPr>
              <w:t>Jak słowom wyrastają skrzydła</w:t>
            </w:r>
            <w:r>
              <w:t xml:space="preserve">, [w:] tegoż, </w:t>
            </w:r>
            <w:r>
              <w:rPr>
                <w:rStyle w:val="Uwydatnienie"/>
              </w:rPr>
              <w:t>Zabawy literackie dawne i nowe</w:t>
            </w:r>
            <w:r>
              <w:t>. Kraków 2003, s. 7–15.</w:t>
            </w:r>
          </w:p>
          <w:p w14:paraId="5FE693B7" w14:textId="77777777" w:rsidR="00D50E30" w:rsidRPr="00D50E30" w:rsidRDefault="00D50E30" w:rsidP="00D50E30">
            <w:pPr>
              <w:widowControl/>
              <w:numPr>
                <w:ilvl w:val="0"/>
                <w:numId w:val="9"/>
              </w:numPr>
              <w:suppressAutoHyphens w:val="0"/>
              <w:autoSpaceDE/>
              <w:spacing w:before="100" w:beforeAutospacing="1" w:after="100" w:afterAutospacing="1"/>
              <w:rPr>
                <w:lang w:val="en-GB"/>
              </w:rPr>
            </w:pPr>
            <w:r w:rsidRPr="00D50E30">
              <w:rPr>
                <w:lang w:val="en-GB"/>
              </w:rPr>
              <w:t xml:space="preserve">Mumford M.D., Medeiros K.E., Partlow P.J., </w:t>
            </w:r>
            <w:r w:rsidRPr="00D50E30">
              <w:rPr>
                <w:rStyle w:val="Uwydatnienie"/>
                <w:lang w:val="en-GB"/>
              </w:rPr>
              <w:t>Creative Thinking: Processes, Strategies, and Knowledge</w:t>
            </w:r>
            <w:r w:rsidRPr="00D50E30">
              <w:rPr>
                <w:lang w:val="en-GB"/>
              </w:rPr>
              <w:t xml:space="preserve">. </w:t>
            </w:r>
            <w:r w:rsidRPr="00D50E30">
              <w:rPr>
                <w:rStyle w:val="Uwydatnienie"/>
                <w:lang w:val="en-GB"/>
              </w:rPr>
              <w:t xml:space="preserve">Journal of Creative </w:t>
            </w:r>
            <w:proofErr w:type="spellStart"/>
            <w:r w:rsidRPr="00D50E30">
              <w:rPr>
                <w:rStyle w:val="Uwydatnienie"/>
                <w:lang w:val="en-GB"/>
              </w:rPr>
              <w:t>Behavior</w:t>
            </w:r>
            <w:proofErr w:type="spellEnd"/>
            <w:r w:rsidRPr="00D50E30">
              <w:rPr>
                <w:lang w:val="en-GB"/>
              </w:rPr>
              <w:t xml:space="preserve">, 2012. </w:t>
            </w:r>
            <w:proofErr w:type="spellStart"/>
            <w:r w:rsidRPr="00D50E30">
              <w:rPr>
                <w:lang w:val="en-GB"/>
              </w:rPr>
              <w:t>Dostęp</w:t>
            </w:r>
            <w:proofErr w:type="spellEnd"/>
            <w:r w:rsidRPr="00D50E30">
              <w:rPr>
                <w:lang w:val="en-GB"/>
              </w:rPr>
              <w:t xml:space="preserve"> online: </w:t>
            </w:r>
            <w:hyperlink r:id="rId14" w:history="1">
              <w:r w:rsidRPr="00D50E30">
                <w:rPr>
                  <w:rStyle w:val="Hipercze"/>
                  <w:lang w:val="en-GB"/>
                </w:rPr>
                <w:t>https://onlinelibrary.wiley.com/doi/full/10.1002/jocb.37</w:t>
              </w:r>
            </w:hyperlink>
          </w:p>
          <w:p w14:paraId="2BBDCE97" w14:textId="77777777" w:rsidR="00D50E30" w:rsidRPr="00D50E30" w:rsidRDefault="00D50E30" w:rsidP="00D50E30">
            <w:pPr>
              <w:widowControl/>
              <w:numPr>
                <w:ilvl w:val="0"/>
                <w:numId w:val="9"/>
              </w:numPr>
              <w:suppressAutoHyphens w:val="0"/>
              <w:autoSpaceDE/>
              <w:spacing w:before="100" w:beforeAutospacing="1" w:after="100" w:afterAutospacing="1"/>
              <w:rPr>
                <w:lang w:val="en-GB"/>
              </w:rPr>
            </w:pPr>
            <w:r w:rsidRPr="00D50E30">
              <w:rPr>
                <w:lang w:val="en-GB"/>
              </w:rPr>
              <w:t xml:space="preserve">Runco M.A., Jaeger G.J., </w:t>
            </w:r>
            <w:r w:rsidRPr="00D50E30">
              <w:rPr>
                <w:rStyle w:val="Uwydatnienie"/>
                <w:lang w:val="en-GB"/>
              </w:rPr>
              <w:t>The Standard Definition of Creativity</w:t>
            </w:r>
            <w:r w:rsidRPr="00D50E30">
              <w:rPr>
                <w:lang w:val="en-GB"/>
              </w:rPr>
              <w:t xml:space="preserve">. </w:t>
            </w:r>
            <w:r w:rsidRPr="00D50E30">
              <w:rPr>
                <w:rStyle w:val="Uwydatnienie"/>
                <w:lang w:val="en-GB"/>
              </w:rPr>
              <w:t>Creativity Research Journal</w:t>
            </w:r>
            <w:r w:rsidRPr="00D50E30">
              <w:rPr>
                <w:lang w:val="en-GB"/>
              </w:rPr>
              <w:t xml:space="preserve">, 2012. </w:t>
            </w:r>
            <w:proofErr w:type="spellStart"/>
            <w:r w:rsidRPr="00D50E30">
              <w:rPr>
                <w:lang w:val="en-GB"/>
              </w:rPr>
              <w:t>Dostęp</w:t>
            </w:r>
            <w:proofErr w:type="spellEnd"/>
            <w:r w:rsidRPr="00D50E30">
              <w:rPr>
                <w:lang w:val="en-GB"/>
              </w:rPr>
              <w:t xml:space="preserve"> online: </w:t>
            </w:r>
            <w:hyperlink r:id="rId15" w:history="1">
              <w:r w:rsidRPr="00D50E30">
                <w:rPr>
                  <w:rStyle w:val="Hipercze"/>
                  <w:lang w:val="en-GB"/>
                </w:rPr>
                <w:t>https://www.tandfonline.com/doi/full/10.1080/10400419.2012.650092</w:t>
              </w:r>
            </w:hyperlink>
          </w:p>
          <w:p w14:paraId="2BAB3B0B" w14:textId="77777777" w:rsidR="00D50E30" w:rsidRPr="00D50E30" w:rsidRDefault="00D50E30" w:rsidP="00D50E30">
            <w:pPr>
              <w:widowControl/>
              <w:numPr>
                <w:ilvl w:val="0"/>
                <w:numId w:val="9"/>
              </w:numPr>
              <w:suppressAutoHyphens w:val="0"/>
              <w:autoSpaceDE/>
              <w:spacing w:before="100" w:beforeAutospacing="1" w:after="100" w:afterAutospacing="1"/>
              <w:rPr>
                <w:lang w:val="en-GB"/>
              </w:rPr>
            </w:pPr>
            <w:r w:rsidRPr="00D50E30">
              <w:rPr>
                <w:lang w:val="en-GB"/>
              </w:rPr>
              <w:t xml:space="preserve">Sawyer R.K., </w:t>
            </w:r>
            <w:r w:rsidRPr="00D50E30">
              <w:rPr>
                <w:rStyle w:val="Uwydatnienie"/>
                <w:lang w:val="en-GB"/>
              </w:rPr>
              <w:t>Explaining Creativity: The Science of Human Innovation</w:t>
            </w:r>
            <w:r w:rsidRPr="00D50E30">
              <w:rPr>
                <w:lang w:val="en-GB"/>
              </w:rPr>
              <w:t xml:space="preserve">. Oxford University Press, Oxford 2012. </w:t>
            </w:r>
            <w:proofErr w:type="spellStart"/>
            <w:r w:rsidRPr="00D50E30">
              <w:rPr>
                <w:lang w:val="en-GB"/>
              </w:rPr>
              <w:t>Dostęp</w:t>
            </w:r>
            <w:proofErr w:type="spellEnd"/>
            <w:r w:rsidRPr="00D50E30">
              <w:rPr>
                <w:lang w:val="en-GB"/>
              </w:rPr>
              <w:t xml:space="preserve"> online: </w:t>
            </w:r>
            <w:hyperlink r:id="rId16" w:history="1">
              <w:r w:rsidRPr="00D50E30">
                <w:rPr>
                  <w:rStyle w:val="Hipercze"/>
                  <w:lang w:val="en-GB"/>
                </w:rPr>
                <w:t>https://academic.oup.com/book/11006</w:t>
              </w:r>
            </w:hyperlink>
          </w:p>
          <w:p w14:paraId="6304D3B6" w14:textId="77777777" w:rsidR="00D50E30" w:rsidRPr="00D50E30" w:rsidRDefault="00D50E30" w:rsidP="00D50E30">
            <w:pPr>
              <w:widowControl/>
              <w:numPr>
                <w:ilvl w:val="0"/>
                <w:numId w:val="9"/>
              </w:numPr>
              <w:suppressAutoHyphens w:val="0"/>
              <w:autoSpaceDE/>
              <w:spacing w:before="100" w:beforeAutospacing="1" w:after="100" w:afterAutospacing="1"/>
              <w:rPr>
                <w:lang w:val="en-GB"/>
              </w:rPr>
            </w:pPr>
            <w:r w:rsidRPr="00D50E30">
              <w:rPr>
                <w:lang w:val="en-GB"/>
              </w:rPr>
              <w:t xml:space="preserve">Tang M., Werner C.H., </w:t>
            </w:r>
            <w:r w:rsidRPr="00D50E30">
              <w:rPr>
                <w:rStyle w:val="Uwydatnienie"/>
                <w:lang w:val="en-GB"/>
              </w:rPr>
              <w:t>An International Examination of Creativity in Education</w:t>
            </w:r>
            <w:r w:rsidRPr="00D50E30">
              <w:rPr>
                <w:lang w:val="en-GB"/>
              </w:rPr>
              <w:t xml:space="preserve">. </w:t>
            </w:r>
            <w:r w:rsidRPr="00D50E30">
              <w:rPr>
                <w:rStyle w:val="Uwydatnienie"/>
                <w:lang w:val="en-GB"/>
              </w:rPr>
              <w:t>Thinking Skills and Creativity</w:t>
            </w:r>
            <w:r w:rsidRPr="00D50E30">
              <w:rPr>
                <w:lang w:val="en-GB"/>
              </w:rPr>
              <w:t xml:space="preserve">, 2017. </w:t>
            </w:r>
            <w:proofErr w:type="spellStart"/>
            <w:r w:rsidRPr="00D50E30">
              <w:rPr>
                <w:lang w:val="en-GB"/>
              </w:rPr>
              <w:t>Dostęp</w:t>
            </w:r>
            <w:proofErr w:type="spellEnd"/>
            <w:r w:rsidRPr="00D50E30">
              <w:rPr>
                <w:lang w:val="en-GB"/>
              </w:rPr>
              <w:t xml:space="preserve"> online: </w:t>
            </w:r>
            <w:hyperlink r:id="rId17" w:history="1">
              <w:r w:rsidRPr="00D50E30">
                <w:rPr>
                  <w:rStyle w:val="Hipercze"/>
                  <w:lang w:val="en-GB"/>
                </w:rPr>
                <w:t>https://www.sciencedirect.com/science/article/pii/S1871187116300930</w:t>
              </w:r>
            </w:hyperlink>
          </w:p>
          <w:p w14:paraId="3210658D" w14:textId="5309C32F" w:rsidR="00303F50" w:rsidRPr="00D50E30" w:rsidRDefault="00303F50" w:rsidP="00D50E30">
            <w:pPr>
              <w:pStyle w:val="Akapitzlist"/>
              <w:rPr>
                <w:lang w:val="en-GB"/>
              </w:rPr>
            </w:pPr>
          </w:p>
        </w:tc>
      </w:tr>
    </w:tbl>
    <w:p w14:paraId="451F9EBC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38FA42F5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91978F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141D64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5C606A9" w14:textId="433B96A1" w:rsidR="00090B68" w:rsidRPr="00BE178A" w:rsidRDefault="002A4872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21603B00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3E7885E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4677669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0366226" w14:textId="7598040B" w:rsidR="00090B68" w:rsidRPr="00BE178A" w:rsidRDefault="002A4872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DE656F"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6F28319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3C437C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99BCF4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96B299D" w14:textId="25E43917" w:rsidR="00090B68" w:rsidRPr="00BE178A" w:rsidRDefault="002A4872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DE656F"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2A57C757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402771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D9FB17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126791F9" w14:textId="3F5B6957" w:rsidR="00090B68" w:rsidRPr="00BE178A" w:rsidRDefault="002A4872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3557762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4870BD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BDD98D6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F3D14E6" w14:textId="0888BC4A" w:rsidR="00090B68" w:rsidRPr="00BE178A" w:rsidRDefault="00DE656F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D123F9"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7512184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75C6B4A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F8CEDC5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C8A6A05" w14:textId="06497794" w:rsidR="00090B68" w:rsidRPr="00BE178A" w:rsidRDefault="00DE656F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29172F" w:rsidRPr="00BE178A" w14:paraId="4A3E092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23A738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76EAEC7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C33CCA0" w14:textId="029CA482" w:rsidR="00090B68" w:rsidRPr="00BE178A" w:rsidRDefault="001644CB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357B4E" w:rsidRPr="00BE178A" w14:paraId="5D9A278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8F17CF3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3534C11" w14:textId="30A19DD5" w:rsidR="00357B4E" w:rsidRPr="00BE178A" w:rsidRDefault="00D123F9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357B4E" w:rsidRPr="00BE178A" w14:paraId="49675B6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DEC4454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C06513C" w14:textId="3FF44814" w:rsidR="00357B4E" w:rsidRPr="00BE178A" w:rsidRDefault="00D123F9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</w:tbl>
    <w:p w14:paraId="1D2ACBA6" w14:textId="77777777" w:rsidR="00090B68" w:rsidRDefault="00090B68" w:rsidP="00B56EF9">
      <w:pPr>
        <w:pStyle w:val="Tekstdymka1"/>
      </w:pPr>
    </w:p>
    <w:sectPr w:rsidR="00090B68" w:rsidSect="001A402E">
      <w:headerReference w:type="default" r:id="rId18"/>
      <w:footerReference w:type="default" r:id="rId19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D8F0" w14:textId="77777777" w:rsidR="000D6E4F" w:rsidRDefault="000D6E4F" w:rsidP="00B56EF9">
      <w:r>
        <w:separator/>
      </w:r>
    </w:p>
  </w:endnote>
  <w:endnote w:type="continuationSeparator" w:id="0">
    <w:p w14:paraId="13C9DF99" w14:textId="77777777" w:rsidR="000D6E4F" w:rsidRDefault="000D6E4F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97A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A3F5" w14:textId="77777777" w:rsidR="000D6E4F" w:rsidRDefault="000D6E4F" w:rsidP="00B56EF9">
      <w:r>
        <w:separator/>
      </w:r>
    </w:p>
  </w:footnote>
  <w:footnote w:type="continuationSeparator" w:id="0">
    <w:p w14:paraId="0FE0D316" w14:textId="77777777" w:rsidR="000D6E4F" w:rsidRDefault="000D6E4F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7EF6" w14:textId="6939A230" w:rsidR="00606DE1" w:rsidRDefault="4347B4AB" w:rsidP="4347B4AB">
    <w:pPr>
      <w:jc w:val="center"/>
      <w:rPr>
        <w:rFonts w:eastAsia="Calibri" w:cs="Calibri"/>
        <w:color w:val="000000" w:themeColor="text1"/>
      </w:rPr>
    </w:pPr>
    <w:r w:rsidRPr="4347B4AB">
      <w:rPr>
        <w:rFonts w:eastAsia="Calibri" w:cs="Calibri"/>
        <w:color w:val="000000" w:themeColor="text1"/>
      </w:rPr>
      <w:t xml:space="preserve">Kierunek: </w:t>
    </w:r>
    <w:r w:rsidR="0030439D">
      <w:rPr>
        <w:rFonts w:eastAsia="Calibri" w:cs="Calibri"/>
        <w:color w:val="000000" w:themeColor="text1"/>
      </w:rPr>
      <w:t>Zarządzanie informacją i publikowanie cyfrowe</w:t>
    </w:r>
    <w:r w:rsidRPr="4347B4AB">
      <w:rPr>
        <w:rFonts w:eastAsia="Calibri" w:cs="Calibri"/>
        <w:color w:val="000000" w:themeColor="text1"/>
      </w:rPr>
      <w:t xml:space="preserve"> </w:t>
    </w:r>
  </w:p>
  <w:p w14:paraId="13ACD9C4" w14:textId="1606F5D6" w:rsidR="00606DE1" w:rsidRDefault="4347B4AB" w:rsidP="4347B4AB">
    <w:pPr>
      <w:jc w:val="center"/>
      <w:rPr>
        <w:rFonts w:eastAsia="Calibri" w:cs="Calibri"/>
        <w:color w:val="000000" w:themeColor="text1"/>
      </w:rPr>
    </w:pPr>
    <w:r w:rsidRPr="4347B4AB">
      <w:rPr>
        <w:rFonts w:eastAsia="Calibri" w:cs="Calibri"/>
        <w:color w:val="000000" w:themeColor="text1"/>
      </w:rPr>
      <w:t xml:space="preserve">Studia stacjonarne I stopnia, semestr </w:t>
    </w:r>
    <w:r w:rsidR="0030439D">
      <w:rPr>
        <w:rFonts w:eastAsia="Calibri" w:cs="Calibri"/>
        <w:color w:val="000000" w:themeColor="text1"/>
      </w:rPr>
      <w:t>VI</w:t>
    </w:r>
    <w:r w:rsidRPr="4347B4AB">
      <w:rPr>
        <w:rFonts w:eastAsia="Calibri" w:cs="Calibri"/>
        <w:color w:val="000000" w:themeColor="text1"/>
      </w:rPr>
      <w:t xml:space="preserve"> (kurs </w:t>
    </w:r>
    <w:r w:rsidR="0030439D">
      <w:rPr>
        <w:rFonts w:eastAsia="Calibri" w:cs="Calibri"/>
        <w:color w:val="000000" w:themeColor="text1"/>
      </w:rPr>
      <w:t>do wyboru</w:t>
    </w:r>
    <w:r w:rsidRPr="4347B4AB">
      <w:rPr>
        <w:rFonts w:eastAsia="Calibri" w:cs="Calibri"/>
        <w:color w:val="000000" w:themeColor="text1"/>
      </w:rPr>
      <w:t>)</w:t>
    </w:r>
    <w:r w:rsidR="001A402E">
      <w:br/>
    </w:r>
    <w:r w:rsidRPr="4347B4AB">
      <w:rPr>
        <w:rFonts w:eastAsia="Calibri" w:cs="Calibri"/>
        <w:color w:val="000000" w:themeColor="text1"/>
      </w:rPr>
      <w:t>Karta kursu zgodna z programem i planem dla roku akademickiego 202</w:t>
    </w:r>
    <w:r w:rsidR="00F171D7">
      <w:rPr>
        <w:rFonts w:eastAsia="Calibri" w:cs="Calibri"/>
        <w:color w:val="000000" w:themeColor="text1"/>
      </w:rPr>
      <w:t>3</w:t>
    </w:r>
    <w:r w:rsidRPr="4347B4AB">
      <w:rPr>
        <w:rFonts w:eastAsia="Calibri" w:cs="Calibri"/>
        <w:color w:val="000000" w:themeColor="text1"/>
      </w:rPr>
      <w:t>/202</w:t>
    </w:r>
    <w:r w:rsidR="00F171D7">
      <w:rPr>
        <w:rFonts w:eastAsia="Calibri" w:cs="Calibri"/>
        <w:color w:val="000000" w:themeColor="text1"/>
      </w:rPr>
      <w:t>4</w:t>
    </w:r>
  </w:p>
  <w:p w14:paraId="237ACC18" w14:textId="32EBEB4A" w:rsidR="00606DE1" w:rsidRDefault="00606DE1" w:rsidP="4347B4A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CB2889"/>
    <w:multiLevelType w:val="multilevel"/>
    <w:tmpl w:val="A5B6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06594"/>
    <w:multiLevelType w:val="hybridMultilevel"/>
    <w:tmpl w:val="3B48C5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9FB5F92"/>
    <w:multiLevelType w:val="multilevel"/>
    <w:tmpl w:val="5574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154BC"/>
    <w:multiLevelType w:val="hybridMultilevel"/>
    <w:tmpl w:val="F8BAB378"/>
    <w:lvl w:ilvl="0" w:tplc="590C9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F6D46"/>
    <w:multiLevelType w:val="hybridMultilevel"/>
    <w:tmpl w:val="395E3AF4"/>
    <w:lvl w:ilvl="0" w:tplc="590C9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F54F7"/>
    <w:multiLevelType w:val="multilevel"/>
    <w:tmpl w:val="7E62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25A89"/>
    <w:multiLevelType w:val="hybridMultilevel"/>
    <w:tmpl w:val="D8027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D1619"/>
    <w:multiLevelType w:val="multilevel"/>
    <w:tmpl w:val="F8FE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5E18F9"/>
    <w:multiLevelType w:val="hybridMultilevel"/>
    <w:tmpl w:val="78223F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37028D"/>
    <w:multiLevelType w:val="multilevel"/>
    <w:tmpl w:val="FDBE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13354"/>
    <w:multiLevelType w:val="hybridMultilevel"/>
    <w:tmpl w:val="A34AFC44"/>
    <w:lvl w:ilvl="0" w:tplc="590C9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C671C"/>
    <w:multiLevelType w:val="hybridMultilevel"/>
    <w:tmpl w:val="9140B8B2"/>
    <w:lvl w:ilvl="0" w:tplc="590C9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8130017">
    <w:abstractNumId w:val="0"/>
  </w:num>
  <w:num w:numId="2" w16cid:durableId="966617510">
    <w:abstractNumId w:val="1"/>
  </w:num>
  <w:num w:numId="3" w16cid:durableId="2127964055">
    <w:abstractNumId w:val="14"/>
  </w:num>
  <w:num w:numId="4" w16cid:durableId="300576684">
    <w:abstractNumId w:val="20"/>
  </w:num>
  <w:num w:numId="5" w16cid:durableId="1559826623">
    <w:abstractNumId w:val="15"/>
  </w:num>
  <w:num w:numId="6" w16cid:durableId="1215848199">
    <w:abstractNumId w:val="3"/>
  </w:num>
  <w:num w:numId="7" w16cid:durableId="1167786755">
    <w:abstractNumId w:val="13"/>
  </w:num>
  <w:num w:numId="8" w16cid:durableId="1328172542">
    <w:abstractNumId w:val="6"/>
  </w:num>
  <w:num w:numId="9" w16cid:durableId="591203794">
    <w:abstractNumId w:val="4"/>
  </w:num>
  <w:num w:numId="10" w16cid:durableId="2005163164">
    <w:abstractNumId w:val="8"/>
  </w:num>
  <w:num w:numId="11" w16cid:durableId="777067020">
    <w:abstractNumId w:val="10"/>
  </w:num>
  <w:num w:numId="12" w16cid:durableId="222958740">
    <w:abstractNumId w:val="12"/>
  </w:num>
  <w:num w:numId="13" w16cid:durableId="74205147">
    <w:abstractNumId w:val="2"/>
  </w:num>
  <w:num w:numId="14" w16cid:durableId="1271088919">
    <w:abstractNumId w:val="18"/>
  </w:num>
  <w:num w:numId="15" w16cid:durableId="1899121161">
    <w:abstractNumId w:val="7"/>
  </w:num>
  <w:num w:numId="16" w16cid:durableId="1845320323">
    <w:abstractNumId w:val="11"/>
  </w:num>
  <w:num w:numId="17" w16cid:durableId="1216283148">
    <w:abstractNumId w:val="17"/>
  </w:num>
  <w:num w:numId="18" w16cid:durableId="161237887">
    <w:abstractNumId w:val="5"/>
  </w:num>
  <w:num w:numId="19" w16cid:durableId="2103715827">
    <w:abstractNumId w:val="21"/>
  </w:num>
  <w:num w:numId="20" w16cid:durableId="1197810507">
    <w:abstractNumId w:val="9"/>
  </w:num>
  <w:num w:numId="21" w16cid:durableId="1807433444">
    <w:abstractNumId w:val="19"/>
  </w:num>
  <w:num w:numId="22" w16cid:durableId="15125722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F"/>
    <w:rsid w:val="00000BF4"/>
    <w:rsid w:val="000078EE"/>
    <w:rsid w:val="00014B03"/>
    <w:rsid w:val="00025F74"/>
    <w:rsid w:val="00027707"/>
    <w:rsid w:val="00033741"/>
    <w:rsid w:val="00040F61"/>
    <w:rsid w:val="00054763"/>
    <w:rsid w:val="00062067"/>
    <w:rsid w:val="00062ECA"/>
    <w:rsid w:val="00066429"/>
    <w:rsid w:val="000858C0"/>
    <w:rsid w:val="00090B68"/>
    <w:rsid w:val="0009244A"/>
    <w:rsid w:val="000B780A"/>
    <w:rsid w:val="000D6E4F"/>
    <w:rsid w:val="000E57E1"/>
    <w:rsid w:val="00100620"/>
    <w:rsid w:val="0011581F"/>
    <w:rsid w:val="00116541"/>
    <w:rsid w:val="00121229"/>
    <w:rsid w:val="001240DC"/>
    <w:rsid w:val="0012575A"/>
    <w:rsid w:val="00134768"/>
    <w:rsid w:val="001644CB"/>
    <w:rsid w:val="001A402E"/>
    <w:rsid w:val="001B69CE"/>
    <w:rsid w:val="001C500B"/>
    <w:rsid w:val="001D30C5"/>
    <w:rsid w:val="001E4062"/>
    <w:rsid w:val="00215395"/>
    <w:rsid w:val="002157B5"/>
    <w:rsid w:val="00240C16"/>
    <w:rsid w:val="0025362C"/>
    <w:rsid w:val="00257A2E"/>
    <w:rsid w:val="0029172F"/>
    <w:rsid w:val="002A4872"/>
    <w:rsid w:val="002B5DE1"/>
    <w:rsid w:val="002C10B5"/>
    <w:rsid w:val="002D3AAF"/>
    <w:rsid w:val="002E2E90"/>
    <w:rsid w:val="00303F50"/>
    <w:rsid w:val="0030439D"/>
    <w:rsid w:val="00321D89"/>
    <w:rsid w:val="003375AF"/>
    <w:rsid w:val="00346340"/>
    <w:rsid w:val="00347FBB"/>
    <w:rsid w:val="00357B4E"/>
    <w:rsid w:val="003609C9"/>
    <w:rsid w:val="00363433"/>
    <w:rsid w:val="003666B7"/>
    <w:rsid w:val="003710A9"/>
    <w:rsid w:val="00392113"/>
    <w:rsid w:val="003B09AE"/>
    <w:rsid w:val="00406DEF"/>
    <w:rsid w:val="00430412"/>
    <w:rsid w:val="004306B5"/>
    <w:rsid w:val="00433F73"/>
    <w:rsid w:val="00434CDD"/>
    <w:rsid w:val="0044050E"/>
    <w:rsid w:val="00481D3E"/>
    <w:rsid w:val="004B4A72"/>
    <w:rsid w:val="004E0F9F"/>
    <w:rsid w:val="004E625D"/>
    <w:rsid w:val="004F1842"/>
    <w:rsid w:val="00504A28"/>
    <w:rsid w:val="00513D88"/>
    <w:rsid w:val="005168F4"/>
    <w:rsid w:val="0052208C"/>
    <w:rsid w:val="00533C41"/>
    <w:rsid w:val="00544863"/>
    <w:rsid w:val="005479B4"/>
    <w:rsid w:val="0056111E"/>
    <w:rsid w:val="00561208"/>
    <w:rsid w:val="00563E06"/>
    <w:rsid w:val="00566634"/>
    <w:rsid w:val="00591FFE"/>
    <w:rsid w:val="005A5744"/>
    <w:rsid w:val="005B4B94"/>
    <w:rsid w:val="005D4A1A"/>
    <w:rsid w:val="005D7BBC"/>
    <w:rsid w:val="005F1F0F"/>
    <w:rsid w:val="00606DE1"/>
    <w:rsid w:val="00625145"/>
    <w:rsid w:val="006278CF"/>
    <w:rsid w:val="0063262A"/>
    <w:rsid w:val="0065209A"/>
    <w:rsid w:val="0066420B"/>
    <w:rsid w:val="0069367E"/>
    <w:rsid w:val="00697C8E"/>
    <w:rsid w:val="006B529F"/>
    <w:rsid w:val="006C58D4"/>
    <w:rsid w:val="006E5D64"/>
    <w:rsid w:val="006E7775"/>
    <w:rsid w:val="00700CD5"/>
    <w:rsid w:val="007042F9"/>
    <w:rsid w:val="00713A0D"/>
    <w:rsid w:val="00716872"/>
    <w:rsid w:val="007246D2"/>
    <w:rsid w:val="00754786"/>
    <w:rsid w:val="00767E44"/>
    <w:rsid w:val="00776FAE"/>
    <w:rsid w:val="007830A8"/>
    <w:rsid w:val="007B28CD"/>
    <w:rsid w:val="007B3CC4"/>
    <w:rsid w:val="007B594A"/>
    <w:rsid w:val="007B723C"/>
    <w:rsid w:val="007E633A"/>
    <w:rsid w:val="008173AA"/>
    <w:rsid w:val="00827D3B"/>
    <w:rsid w:val="008405CC"/>
    <w:rsid w:val="008436D4"/>
    <w:rsid w:val="0084472F"/>
    <w:rsid w:val="00847145"/>
    <w:rsid w:val="00853914"/>
    <w:rsid w:val="00853EFE"/>
    <w:rsid w:val="00857A81"/>
    <w:rsid w:val="00863CE6"/>
    <w:rsid w:val="00876EC5"/>
    <w:rsid w:val="008848B4"/>
    <w:rsid w:val="00887805"/>
    <w:rsid w:val="008A1BA5"/>
    <w:rsid w:val="008B703C"/>
    <w:rsid w:val="008E4F24"/>
    <w:rsid w:val="009026FF"/>
    <w:rsid w:val="009133D9"/>
    <w:rsid w:val="00914D57"/>
    <w:rsid w:val="009158C7"/>
    <w:rsid w:val="00915E04"/>
    <w:rsid w:val="0091639B"/>
    <w:rsid w:val="009222EA"/>
    <w:rsid w:val="00944509"/>
    <w:rsid w:val="00950315"/>
    <w:rsid w:val="00962D53"/>
    <w:rsid w:val="009646BD"/>
    <w:rsid w:val="0097179C"/>
    <w:rsid w:val="00974586"/>
    <w:rsid w:val="009921E1"/>
    <w:rsid w:val="009973EE"/>
    <w:rsid w:val="009A5F5B"/>
    <w:rsid w:val="009B4FBA"/>
    <w:rsid w:val="00A0758A"/>
    <w:rsid w:val="00A31668"/>
    <w:rsid w:val="00A35A93"/>
    <w:rsid w:val="00A57638"/>
    <w:rsid w:val="00A61169"/>
    <w:rsid w:val="00A660DD"/>
    <w:rsid w:val="00A729A3"/>
    <w:rsid w:val="00A74B42"/>
    <w:rsid w:val="00A801A6"/>
    <w:rsid w:val="00A8544F"/>
    <w:rsid w:val="00AB342D"/>
    <w:rsid w:val="00AD12DF"/>
    <w:rsid w:val="00AE1D7B"/>
    <w:rsid w:val="00AF2BB6"/>
    <w:rsid w:val="00B45D72"/>
    <w:rsid w:val="00B470B7"/>
    <w:rsid w:val="00B56EF9"/>
    <w:rsid w:val="00B7051B"/>
    <w:rsid w:val="00B72CFD"/>
    <w:rsid w:val="00B777A8"/>
    <w:rsid w:val="00B97312"/>
    <w:rsid w:val="00BF051A"/>
    <w:rsid w:val="00BF2481"/>
    <w:rsid w:val="00BF468E"/>
    <w:rsid w:val="00C101CB"/>
    <w:rsid w:val="00C30C05"/>
    <w:rsid w:val="00C31CE9"/>
    <w:rsid w:val="00C36CEA"/>
    <w:rsid w:val="00C406F2"/>
    <w:rsid w:val="00C5316D"/>
    <w:rsid w:val="00C639E6"/>
    <w:rsid w:val="00C7153D"/>
    <w:rsid w:val="00CA4B03"/>
    <w:rsid w:val="00CB56F2"/>
    <w:rsid w:val="00CD0BE3"/>
    <w:rsid w:val="00CE00D7"/>
    <w:rsid w:val="00D0031F"/>
    <w:rsid w:val="00D037B4"/>
    <w:rsid w:val="00D040D4"/>
    <w:rsid w:val="00D05BC8"/>
    <w:rsid w:val="00D123F9"/>
    <w:rsid w:val="00D149CC"/>
    <w:rsid w:val="00D20532"/>
    <w:rsid w:val="00D23F37"/>
    <w:rsid w:val="00D32FBE"/>
    <w:rsid w:val="00D34990"/>
    <w:rsid w:val="00D40F53"/>
    <w:rsid w:val="00D50C76"/>
    <w:rsid w:val="00D50E30"/>
    <w:rsid w:val="00D57BD2"/>
    <w:rsid w:val="00D8626F"/>
    <w:rsid w:val="00DB3679"/>
    <w:rsid w:val="00DB685C"/>
    <w:rsid w:val="00DC618E"/>
    <w:rsid w:val="00DE26A7"/>
    <w:rsid w:val="00DE2A4C"/>
    <w:rsid w:val="00DE656F"/>
    <w:rsid w:val="00DE72E8"/>
    <w:rsid w:val="00E1778B"/>
    <w:rsid w:val="00E22724"/>
    <w:rsid w:val="00E4291C"/>
    <w:rsid w:val="00E52ABA"/>
    <w:rsid w:val="00E70565"/>
    <w:rsid w:val="00E9049C"/>
    <w:rsid w:val="00EB6689"/>
    <w:rsid w:val="00EC5543"/>
    <w:rsid w:val="00ED16FD"/>
    <w:rsid w:val="00ED4122"/>
    <w:rsid w:val="00F0542E"/>
    <w:rsid w:val="00F171D7"/>
    <w:rsid w:val="00F227E3"/>
    <w:rsid w:val="00F24D29"/>
    <w:rsid w:val="00F4095F"/>
    <w:rsid w:val="00F42489"/>
    <w:rsid w:val="00F57314"/>
    <w:rsid w:val="00F61EB8"/>
    <w:rsid w:val="00F80960"/>
    <w:rsid w:val="00F86453"/>
    <w:rsid w:val="00F86D72"/>
    <w:rsid w:val="00FA698A"/>
    <w:rsid w:val="00FC3717"/>
    <w:rsid w:val="00FE79A6"/>
    <w:rsid w:val="02D0933F"/>
    <w:rsid w:val="282F608A"/>
    <w:rsid w:val="4347B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AE262"/>
  <w15:chartTrackingRefBased/>
  <w15:docId w15:val="{1C0BC3CF-163C-4A82-9F49-AFA9EF9A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436D4"/>
    <w:rPr>
      <w:i/>
      <w:iCs/>
    </w:rPr>
  </w:style>
  <w:style w:type="paragraph" w:styleId="NormalnyWeb">
    <w:name w:val="Normal (Web)"/>
    <w:basedOn w:val="Normalny"/>
    <w:uiPriority w:val="99"/>
    <w:unhideWhenUsed/>
    <w:rsid w:val="00B7051B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664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prints.whiterose.ac.uk/id/eprint/209749/1/Meta_Creativity_Training_accepted_pre_format_version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dpi.com/2227-7102/14/2/192" TargetMode="External"/><Relationship Id="rId17" Type="http://schemas.openxmlformats.org/officeDocument/2006/relationships/hyperlink" Target="https://www.sciencedirect.com/science/article/pii/S187118711630093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cademic.oup.com/book/110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searchgate.net/publication/352241185_Emotional_Creativity_in_Art_Education_An_Exploratory_Analysis_and_Research_Trends/fulltext/60c05217299bf1e6b71bba9c/Emotional-Creativity-in-Art-Education-An-Exploratory-Analysis-and-Research-Trend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andfonline.com/doi/full/10.1080/10400419.2012.650092" TargetMode="External"/><Relationship Id="rId10" Type="http://schemas.openxmlformats.org/officeDocument/2006/relationships/hyperlink" Target="https://uclpress.co.uk/book/creativity-in-education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nlinelibrary.wiley.com/doi/full/10.1002/jocb.3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karta_kursu_szablon_202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8AA3F-C010-40D7-ACED-FD85526BB67C}"/>
</file>

<file path=customXml/itemProps2.xml><?xml version="1.0" encoding="utf-8"?>
<ds:datastoreItem xmlns:ds="http://schemas.openxmlformats.org/officeDocument/2006/customXml" ds:itemID="{1EFA6161-CCDE-4B4F-8BA7-992DD0D69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7717FB-0E2A-4086-AA29-9E8C8AED4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karta_kursu_szablon_2021</Template>
  <TotalTime>50</TotalTime>
  <Pages>7</Pages>
  <Words>1885</Words>
  <Characters>13576</Characters>
  <Application>Microsoft Office Word</Application>
  <DocSecurity>0</DocSecurity>
  <Lines>437</Lines>
  <Paragraphs>198</Paragraphs>
  <ScaleCrop>false</ScaleCrop>
  <Company>Akademia Pedagogiczna</Company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HP</dc:creator>
  <cp:keywords>szablon;karta kursu</cp:keywords>
  <cp:lastModifiedBy>Beata Langer</cp:lastModifiedBy>
  <cp:revision>48</cp:revision>
  <cp:lastPrinted>2020-09-24T15:16:00Z</cp:lastPrinted>
  <dcterms:created xsi:type="dcterms:W3CDTF">2022-04-06T18:44:00Z</dcterms:created>
  <dcterms:modified xsi:type="dcterms:W3CDTF">2026-02-25T15:21:00Z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